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342"/>
        <w:tblW w:w="0" w:type="auto"/>
        <w:tblLook w:val="04A0" w:firstRow="1" w:lastRow="0" w:firstColumn="1" w:lastColumn="0" w:noHBand="0" w:noVBand="1"/>
      </w:tblPr>
      <w:tblGrid>
        <w:gridCol w:w="2660"/>
        <w:gridCol w:w="850"/>
        <w:gridCol w:w="3686"/>
        <w:gridCol w:w="2046"/>
      </w:tblGrid>
      <w:tr w:rsidR="00395111" w:rsidTr="00C234CA">
        <w:tc>
          <w:tcPr>
            <w:tcW w:w="2660" w:type="dxa"/>
            <w:tcBorders>
              <w:right w:val="nil"/>
            </w:tcBorders>
          </w:tcPr>
          <w:p w:rsidR="00395111" w:rsidRDefault="00395111" w:rsidP="00C234CA">
            <w:bookmarkStart w:id="0" w:name="_GoBack"/>
            <w:bookmarkEnd w:id="0"/>
            <w:r>
              <w:t xml:space="preserve">Authority </w:t>
            </w:r>
            <w:r w:rsidR="00067B0E">
              <w:t>&amp; Contractor Logo</w:t>
            </w:r>
            <w:r>
              <w:t xml:space="preserve"> </w:t>
            </w:r>
          </w:p>
        </w:tc>
        <w:tc>
          <w:tcPr>
            <w:tcW w:w="6582" w:type="dxa"/>
            <w:gridSpan w:val="3"/>
            <w:tcBorders>
              <w:left w:val="nil"/>
            </w:tcBorders>
          </w:tcPr>
          <w:p w:rsidR="00395111" w:rsidRDefault="00395111" w:rsidP="00C234CA">
            <w:pPr>
              <w:jc w:val="right"/>
            </w:pPr>
            <w:r>
              <w:rPr>
                <w:noProof/>
                <w:lang w:eastAsia="en-GB"/>
              </w:rPr>
              <w:drawing>
                <wp:inline distT="0" distB="0" distL="0" distR="0">
                  <wp:extent cx="971550" cy="561975"/>
                  <wp:effectExtent l="19050" t="0" r="0" b="0"/>
                  <wp:docPr id="4" name="Picture 3" descr="MHA logo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 logo MASTER"/>
                          <pic:cNvPicPr>
                            <a:picLocks noChangeAspect="1" noChangeArrowheads="1"/>
                          </pic:cNvPicPr>
                        </pic:nvPicPr>
                        <pic:blipFill>
                          <a:blip r:embed="rId7" cstate="print"/>
                          <a:srcRect/>
                          <a:stretch>
                            <a:fillRect/>
                          </a:stretch>
                        </pic:blipFill>
                        <pic:spPr bwMode="auto">
                          <a:xfrm>
                            <a:off x="0" y="0"/>
                            <a:ext cx="971550" cy="561975"/>
                          </a:xfrm>
                          <a:prstGeom prst="rect">
                            <a:avLst/>
                          </a:prstGeom>
                          <a:noFill/>
                          <a:ln w="9525">
                            <a:noFill/>
                            <a:miter lim="800000"/>
                            <a:headEnd/>
                            <a:tailEnd/>
                          </a:ln>
                        </pic:spPr>
                      </pic:pic>
                    </a:graphicData>
                  </a:graphic>
                </wp:inline>
              </w:drawing>
            </w:r>
          </w:p>
        </w:tc>
      </w:tr>
      <w:tr w:rsidR="00395111" w:rsidTr="00C234CA">
        <w:tc>
          <w:tcPr>
            <w:tcW w:w="3510" w:type="dxa"/>
            <w:gridSpan w:val="2"/>
          </w:tcPr>
          <w:p w:rsidR="00395111" w:rsidRPr="002703FC" w:rsidRDefault="00395111" w:rsidP="00C234CA">
            <w:pPr>
              <w:rPr>
                <w:rFonts w:ascii="Arial" w:hAnsi="Arial" w:cs="Arial"/>
                <w:sz w:val="24"/>
                <w:szCs w:val="24"/>
              </w:rPr>
            </w:pPr>
            <w:r w:rsidRPr="002703FC">
              <w:rPr>
                <w:rFonts w:ascii="Arial" w:hAnsi="Arial" w:cs="Arial"/>
                <w:b/>
                <w:sz w:val="24"/>
                <w:szCs w:val="24"/>
              </w:rPr>
              <w:t xml:space="preserve">Overarching Outcome </w:t>
            </w:r>
          </w:p>
        </w:tc>
        <w:tc>
          <w:tcPr>
            <w:tcW w:w="5732" w:type="dxa"/>
            <w:gridSpan w:val="2"/>
            <w:vAlign w:val="center"/>
          </w:tcPr>
          <w:p w:rsidR="00395111" w:rsidRPr="002703FC" w:rsidRDefault="00341682" w:rsidP="00C234CA">
            <w:pPr>
              <w:rPr>
                <w:rFonts w:ascii="Arial" w:hAnsi="Arial" w:cs="Arial"/>
                <w:sz w:val="24"/>
                <w:szCs w:val="24"/>
              </w:rPr>
            </w:pPr>
            <w:r>
              <w:rPr>
                <w:rFonts w:ascii="Arial" w:hAnsi="Arial" w:cs="Arial"/>
                <w:sz w:val="24"/>
                <w:szCs w:val="24"/>
              </w:rPr>
              <w:t>Efficient Service Delivery</w:t>
            </w:r>
            <w:r w:rsidR="00B13223">
              <w:rPr>
                <w:rFonts w:ascii="Arial" w:hAnsi="Arial" w:cs="Arial"/>
                <w:sz w:val="24"/>
                <w:szCs w:val="24"/>
              </w:rPr>
              <w:t xml:space="preserve"> </w:t>
            </w:r>
          </w:p>
        </w:tc>
      </w:tr>
      <w:tr w:rsidR="00395111" w:rsidTr="00C234CA">
        <w:tc>
          <w:tcPr>
            <w:tcW w:w="2660" w:type="dxa"/>
            <w:shd w:val="clear" w:color="auto" w:fill="FBD4B4" w:themeFill="accent6" w:themeFillTint="66"/>
          </w:tcPr>
          <w:p w:rsidR="00395111" w:rsidRPr="001B21A0" w:rsidRDefault="00395111" w:rsidP="00C234CA">
            <w:pPr>
              <w:rPr>
                <w:rFonts w:ascii="Arial" w:hAnsi="Arial" w:cs="Arial"/>
                <w:b/>
                <w:sz w:val="16"/>
                <w:szCs w:val="16"/>
              </w:rPr>
            </w:pPr>
            <w:r w:rsidRPr="002703FC">
              <w:rPr>
                <w:rFonts w:ascii="Arial" w:hAnsi="Arial" w:cs="Arial"/>
                <w:b/>
                <w:sz w:val="56"/>
                <w:szCs w:val="56"/>
              </w:rPr>
              <w:t xml:space="preserve">KPI </w:t>
            </w:r>
            <w:r w:rsidR="000355CD">
              <w:rPr>
                <w:rFonts w:ascii="Arial" w:hAnsi="Arial" w:cs="Arial"/>
                <w:b/>
                <w:sz w:val="56"/>
                <w:szCs w:val="56"/>
              </w:rPr>
              <w:t>1</w:t>
            </w:r>
            <w:r w:rsidR="0016342A">
              <w:rPr>
                <w:rFonts w:ascii="Arial" w:hAnsi="Arial" w:cs="Arial"/>
                <w:b/>
                <w:sz w:val="56"/>
                <w:szCs w:val="56"/>
              </w:rPr>
              <w:t>1</w:t>
            </w:r>
            <w:r w:rsidR="001B21A0">
              <w:rPr>
                <w:rFonts w:ascii="Arial" w:hAnsi="Arial" w:cs="Arial"/>
                <w:b/>
                <w:sz w:val="16"/>
                <w:szCs w:val="16"/>
              </w:rPr>
              <w:t>Jan 2017</w:t>
            </w:r>
          </w:p>
        </w:tc>
        <w:tc>
          <w:tcPr>
            <w:tcW w:w="4536" w:type="dxa"/>
            <w:gridSpan w:val="2"/>
            <w:shd w:val="clear" w:color="auto" w:fill="FBD4B4" w:themeFill="accent6" w:themeFillTint="66"/>
            <w:vAlign w:val="center"/>
          </w:tcPr>
          <w:p w:rsidR="00395111" w:rsidRPr="002703FC" w:rsidRDefault="0016342A" w:rsidP="00CB0725">
            <w:pPr>
              <w:rPr>
                <w:rFonts w:ascii="Arial" w:hAnsi="Arial" w:cs="Arial"/>
                <w:b/>
                <w:sz w:val="28"/>
                <w:szCs w:val="28"/>
              </w:rPr>
            </w:pPr>
            <w:r>
              <w:rPr>
                <w:rFonts w:ascii="Arial" w:hAnsi="Arial" w:cs="Arial"/>
                <w:b/>
                <w:sz w:val="28"/>
                <w:szCs w:val="28"/>
              </w:rPr>
              <w:t xml:space="preserve">Value for Money </w:t>
            </w:r>
          </w:p>
        </w:tc>
        <w:tc>
          <w:tcPr>
            <w:tcW w:w="2046" w:type="dxa"/>
            <w:shd w:val="clear" w:color="auto" w:fill="FBD4B4" w:themeFill="accent6" w:themeFillTint="66"/>
            <w:vAlign w:val="center"/>
          </w:tcPr>
          <w:p w:rsidR="00395111" w:rsidRPr="002703FC" w:rsidRDefault="00395111" w:rsidP="00C234CA">
            <w:pPr>
              <w:rPr>
                <w:rFonts w:ascii="Arial" w:hAnsi="Arial" w:cs="Arial"/>
                <w:sz w:val="24"/>
                <w:szCs w:val="24"/>
              </w:rPr>
            </w:pPr>
            <w:r w:rsidRPr="002703FC">
              <w:rPr>
                <w:rFonts w:ascii="Arial" w:hAnsi="Arial" w:cs="Arial"/>
                <w:sz w:val="24"/>
                <w:szCs w:val="24"/>
              </w:rPr>
              <w:t>Pain / Gain Indicator</w:t>
            </w:r>
          </w:p>
        </w:tc>
      </w:tr>
      <w:tr w:rsidR="00395111" w:rsidTr="00C234CA">
        <w:tc>
          <w:tcPr>
            <w:tcW w:w="2660" w:type="dxa"/>
            <w:shd w:val="clear" w:color="auto" w:fill="D9D9D9" w:themeFill="background1" w:themeFillShade="D9"/>
          </w:tcPr>
          <w:p w:rsidR="00395111" w:rsidRDefault="00395111" w:rsidP="00C234CA">
            <w:pPr>
              <w:rPr>
                <w:rFonts w:ascii="Arial" w:hAnsi="Arial" w:cs="Arial"/>
                <w:b/>
                <w:sz w:val="28"/>
                <w:szCs w:val="28"/>
              </w:rPr>
            </w:pPr>
            <w:r w:rsidRPr="00C84C20">
              <w:rPr>
                <w:rFonts w:ascii="Arial" w:hAnsi="Arial" w:cs="Arial"/>
                <w:b/>
                <w:sz w:val="28"/>
                <w:szCs w:val="28"/>
              </w:rPr>
              <w:t>Definition</w:t>
            </w:r>
            <w:r w:rsidR="00D52B68">
              <w:rPr>
                <w:rFonts w:ascii="Arial" w:hAnsi="Arial" w:cs="Arial"/>
                <w:b/>
                <w:sz w:val="28"/>
                <w:szCs w:val="28"/>
              </w:rPr>
              <w:t xml:space="preserve"> &amp; Target</w:t>
            </w:r>
            <w:r w:rsidRPr="00C84C20">
              <w:rPr>
                <w:rFonts w:ascii="Arial" w:hAnsi="Arial" w:cs="Arial"/>
                <w:b/>
                <w:sz w:val="28"/>
                <w:szCs w:val="28"/>
              </w:rPr>
              <w:t>:</w:t>
            </w:r>
          </w:p>
          <w:p w:rsidR="00E212CE" w:rsidRDefault="00E212CE" w:rsidP="00C234CA">
            <w:pPr>
              <w:rPr>
                <w:rFonts w:ascii="Arial" w:hAnsi="Arial" w:cs="Arial"/>
                <w:b/>
                <w:sz w:val="28"/>
                <w:szCs w:val="28"/>
              </w:rPr>
            </w:pPr>
          </w:p>
          <w:p w:rsidR="00E212CE" w:rsidRDefault="00E212CE" w:rsidP="00C234CA">
            <w:pPr>
              <w:rPr>
                <w:rFonts w:ascii="Arial" w:hAnsi="Arial" w:cs="Arial"/>
                <w:b/>
                <w:sz w:val="28"/>
                <w:szCs w:val="28"/>
              </w:rPr>
            </w:pPr>
          </w:p>
          <w:p w:rsidR="00E212CE" w:rsidRPr="00E212CE" w:rsidRDefault="00E212CE" w:rsidP="00C234CA">
            <w:pPr>
              <w:rPr>
                <w:rFonts w:ascii="Arial" w:hAnsi="Arial" w:cs="Arial"/>
                <w:b/>
                <w:color w:val="FF0000"/>
                <w:sz w:val="28"/>
                <w:szCs w:val="28"/>
              </w:rPr>
            </w:pPr>
          </w:p>
        </w:tc>
        <w:tc>
          <w:tcPr>
            <w:tcW w:w="6582" w:type="dxa"/>
            <w:gridSpan w:val="3"/>
          </w:tcPr>
          <w:p w:rsidR="00B54825" w:rsidRDefault="00B54825" w:rsidP="000355CD">
            <w:pPr>
              <w:rPr>
                <w:rFonts w:ascii="Arial" w:hAnsi="Arial" w:cs="Arial"/>
                <w:sz w:val="24"/>
                <w:szCs w:val="24"/>
              </w:rPr>
            </w:pPr>
            <w:r>
              <w:rPr>
                <w:rFonts w:ascii="Arial" w:hAnsi="Arial" w:cs="Arial"/>
                <w:sz w:val="24"/>
                <w:szCs w:val="24"/>
              </w:rPr>
              <w:t>To jointly maintain the individual MHA contract savings and innovation register. To be maintained by the contractor and audited and signed off by the Client. To be monthly managed at the monthly management meeting.</w:t>
            </w:r>
          </w:p>
          <w:p w:rsidR="00B54825" w:rsidRPr="000355CD" w:rsidRDefault="00B54825" w:rsidP="000355CD">
            <w:pPr>
              <w:rPr>
                <w:rFonts w:ascii="Arial" w:hAnsi="Arial" w:cs="Arial"/>
                <w:sz w:val="24"/>
                <w:szCs w:val="24"/>
              </w:rPr>
            </w:pPr>
            <w:r>
              <w:rPr>
                <w:rFonts w:ascii="Arial" w:hAnsi="Arial" w:cs="Arial"/>
                <w:sz w:val="24"/>
                <w:szCs w:val="24"/>
              </w:rPr>
              <w:t xml:space="preserve"> </w:t>
            </w:r>
          </w:p>
          <w:tbl>
            <w:tblPr>
              <w:tblStyle w:val="TableGrid"/>
              <w:tblW w:w="0" w:type="auto"/>
              <w:tblInd w:w="352" w:type="dxa"/>
              <w:tblLook w:val="04A0" w:firstRow="1" w:lastRow="0" w:firstColumn="1" w:lastColumn="0" w:noHBand="0" w:noVBand="1"/>
            </w:tblPr>
            <w:tblGrid>
              <w:gridCol w:w="3539"/>
              <w:gridCol w:w="2126"/>
            </w:tblGrid>
            <w:tr w:rsidR="00395111" w:rsidRPr="00C84C20" w:rsidTr="00DB188A">
              <w:tc>
                <w:tcPr>
                  <w:tcW w:w="3539" w:type="dxa"/>
                  <w:shd w:val="clear" w:color="auto" w:fill="B8CCE4" w:themeFill="accent1" w:themeFillTint="66"/>
                </w:tcPr>
                <w:p w:rsidR="00395111" w:rsidRPr="00C84C20" w:rsidRDefault="00442F61" w:rsidP="00325BE4">
                  <w:pPr>
                    <w:framePr w:hSpace="180" w:wrap="around" w:vAnchor="page" w:hAnchor="margin" w:y="1342"/>
                    <w:rPr>
                      <w:rFonts w:ascii="Arial" w:hAnsi="Arial" w:cs="Arial"/>
                      <w:sz w:val="24"/>
                      <w:szCs w:val="24"/>
                    </w:rPr>
                  </w:pPr>
                  <w:r w:rsidRPr="001B4807">
                    <w:rPr>
                      <w:rFonts w:ascii="Arial" w:hAnsi="Arial" w:cs="Arial"/>
                      <w:sz w:val="24"/>
                      <w:szCs w:val="24"/>
                    </w:rPr>
                    <w:br/>
                  </w:r>
                  <w:r w:rsidR="009E1445">
                    <w:rPr>
                      <w:rFonts w:ascii="Arial" w:hAnsi="Arial" w:cs="Arial"/>
                      <w:sz w:val="24"/>
                      <w:szCs w:val="24"/>
                    </w:rPr>
                    <w:t>Task</w:t>
                  </w:r>
                </w:p>
              </w:tc>
              <w:tc>
                <w:tcPr>
                  <w:tcW w:w="2126" w:type="dxa"/>
                  <w:shd w:val="clear" w:color="auto" w:fill="B8CCE4" w:themeFill="accent1" w:themeFillTint="66"/>
                </w:tcPr>
                <w:p w:rsidR="00395111" w:rsidRPr="00C84C20" w:rsidRDefault="00395111" w:rsidP="00325BE4">
                  <w:pPr>
                    <w:framePr w:hSpace="180" w:wrap="around" w:vAnchor="page" w:hAnchor="margin" w:y="1342"/>
                    <w:rPr>
                      <w:rFonts w:ascii="Arial" w:hAnsi="Arial" w:cs="Arial"/>
                      <w:sz w:val="24"/>
                      <w:szCs w:val="24"/>
                    </w:rPr>
                  </w:pPr>
                  <w:r>
                    <w:rPr>
                      <w:rFonts w:ascii="Arial" w:hAnsi="Arial" w:cs="Arial"/>
                      <w:sz w:val="24"/>
                      <w:szCs w:val="24"/>
                    </w:rPr>
                    <w:t xml:space="preserve">Target </w:t>
                  </w:r>
                </w:p>
              </w:tc>
            </w:tr>
            <w:tr w:rsidR="00395111" w:rsidRPr="00C84C20" w:rsidTr="00DB188A">
              <w:tc>
                <w:tcPr>
                  <w:tcW w:w="3539" w:type="dxa"/>
                </w:tcPr>
                <w:p w:rsidR="00395111" w:rsidRPr="00C84C20" w:rsidRDefault="009E1445" w:rsidP="00325BE4">
                  <w:pPr>
                    <w:framePr w:hSpace="180" w:wrap="around" w:vAnchor="page" w:hAnchor="margin" w:y="1342"/>
                    <w:rPr>
                      <w:rFonts w:ascii="Arial" w:hAnsi="Arial" w:cs="Arial"/>
                      <w:sz w:val="24"/>
                      <w:szCs w:val="24"/>
                    </w:rPr>
                  </w:pPr>
                  <w:r>
                    <w:rPr>
                      <w:rFonts w:ascii="Arial" w:hAnsi="Arial" w:cs="Arial"/>
                      <w:sz w:val="24"/>
                      <w:szCs w:val="24"/>
                    </w:rPr>
                    <w:t>Complete as appropriate, jointly review monthly</w:t>
                  </w:r>
                </w:p>
              </w:tc>
              <w:tc>
                <w:tcPr>
                  <w:tcW w:w="2126" w:type="dxa"/>
                </w:tcPr>
                <w:p w:rsidR="00395111" w:rsidRPr="00C84C20" w:rsidRDefault="009E1445" w:rsidP="00325BE4">
                  <w:pPr>
                    <w:framePr w:hSpace="180" w:wrap="around" w:vAnchor="page" w:hAnchor="margin" w:y="1342"/>
                    <w:rPr>
                      <w:rFonts w:ascii="Arial" w:hAnsi="Arial" w:cs="Arial"/>
                      <w:sz w:val="24"/>
                      <w:szCs w:val="24"/>
                    </w:rPr>
                  </w:pPr>
                  <w:r>
                    <w:rPr>
                      <w:rFonts w:ascii="Arial" w:hAnsi="Arial" w:cs="Arial"/>
                      <w:color w:val="FF0000"/>
                      <w:sz w:val="24"/>
                      <w:szCs w:val="24"/>
                    </w:rPr>
                    <w:t>100</w:t>
                  </w:r>
                  <w:r w:rsidR="00395111">
                    <w:rPr>
                      <w:rFonts w:ascii="Arial" w:hAnsi="Arial" w:cs="Arial"/>
                      <w:color w:val="FF0000"/>
                      <w:sz w:val="24"/>
                      <w:szCs w:val="24"/>
                    </w:rPr>
                    <w:t xml:space="preserve"> </w:t>
                  </w:r>
                  <w:r w:rsidR="00395111">
                    <w:rPr>
                      <w:rFonts w:ascii="Arial" w:hAnsi="Arial" w:cs="Arial"/>
                      <w:sz w:val="24"/>
                      <w:szCs w:val="24"/>
                    </w:rPr>
                    <w:t>%</w:t>
                  </w:r>
                  <w:r w:rsidR="00134B28">
                    <w:rPr>
                      <w:rFonts w:ascii="Arial" w:hAnsi="Arial" w:cs="Arial"/>
                      <w:sz w:val="24"/>
                      <w:szCs w:val="24"/>
                    </w:rPr>
                    <w:t xml:space="preserve">  </w:t>
                  </w:r>
                </w:p>
              </w:tc>
            </w:tr>
          </w:tbl>
          <w:p w:rsidR="00395111" w:rsidRPr="00526B57" w:rsidRDefault="00395111" w:rsidP="00C234CA">
            <w:pPr>
              <w:rPr>
                <w:rFonts w:ascii="Arial" w:hAnsi="Arial" w:cs="Arial"/>
                <w:sz w:val="24"/>
                <w:szCs w:val="24"/>
              </w:rPr>
            </w:pPr>
          </w:p>
        </w:tc>
      </w:tr>
      <w:tr w:rsidR="00395111" w:rsidTr="00134B28">
        <w:trPr>
          <w:trHeight w:val="790"/>
        </w:trPr>
        <w:tc>
          <w:tcPr>
            <w:tcW w:w="2660" w:type="dxa"/>
            <w:shd w:val="clear" w:color="auto" w:fill="D9D9D9" w:themeFill="background1" w:themeFillShade="D9"/>
          </w:tcPr>
          <w:p w:rsidR="00E212CE" w:rsidRPr="00134B28" w:rsidRDefault="00395111" w:rsidP="00C234CA">
            <w:pPr>
              <w:rPr>
                <w:rFonts w:ascii="Arial" w:hAnsi="Arial" w:cs="Arial"/>
                <w:b/>
                <w:sz w:val="28"/>
                <w:szCs w:val="28"/>
              </w:rPr>
            </w:pPr>
            <w:r w:rsidRPr="00F120C2">
              <w:rPr>
                <w:rFonts w:ascii="Arial" w:hAnsi="Arial" w:cs="Arial"/>
                <w:b/>
                <w:sz w:val="28"/>
                <w:szCs w:val="28"/>
              </w:rPr>
              <w:t>Calculation Matrix</w:t>
            </w:r>
            <w:r w:rsidR="00134B28">
              <w:rPr>
                <w:rFonts w:ascii="Arial" w:hAnsi="Arial" w:cs="Arial"/>
                <w:b/>
                <w:sz w:val="28"/>
                <w:szCs w:val="28"/>
              </w:rPr>
              <w:t>:</w:t>
            </w:r>
          </w:p>
        </w:tc>
        <w:tc>
          <w:tcPr>
            <w:tcW w:w="6582" w:type="dxa"/>
            <w:gridSpan w:val="3"/>
          </w:tcPr>
          <w:p w:rsidR="000355CD" w:rsidRDefault="009E1445" w:rsidP="000355CD">
            <w:pPr>
              <w:rPr>
                <w:rFonts w:ascii="Arial" w:hAnsi="Arial" w:cs="Arial"/>
                <w:sz w:val="24"/>
                <w:szCs w:val="24"/>
              </w:rPr>
            </w:pPr>
            <w:r>
              <w:rPr>
                <w:rFonts w:ascii="Arial" w:hAnsi="Arial" w:cs="Arial"/>
                <w:sz w:val="24"/>
                <w:szCs w:val="24"/>
              </w:rPr>
              <w:t>Jointly reviewed monthly</w:t>
            </w:r>
          </w:p>
          <w:p w:rsidR="000355CD" w:rsidRDefault="000355CD" w:rsidP="000355CD">
            <w:pPr>
              <w:rPr>
                <w:rFonts w:ascii="Arial" w:hAnsi="Arial" w:cs="Arial"/>
                <w:sz w:val="24"/>
                <w:szCs w:val="24"/>
              </w:rPr>
            </w:pPr>
          </w:p>
          <w:p w:rsidR="000355CD" w:rsidRPr="00F120C2" w:rsidRDefault="009E1445" w:rsidP="000355CD">
            <w:pPr>
              <w:spacing w:line="360" w:lineRule="auto"/>
              <w:rPr>
                <w:rFonts w:ascii="Arial" w:hAnsi="Arial" w:cs="Arial"/>
                <w:sz w:val="24"/>
                <w:szCs w:val="24"/>
                <w:u w:val="single"/>
              </w:rPr>
            </w:pPr>
            <w:r>
              <w:rPr>
                <w:rFonts w:ascii="Arial" w:hAnsi="Arial" w:cs="Arial"/>
                <w:sz w:val="24"/>
                <w:szCs w:val="24"/>
                <w:u w:val="single"/>
              </w:rPr>
              <w:t>Times reviewed jointly per month</w:t>
            </w:r>
            <w:r w:rsidR="000355CD" w:rsidRPr="00F120C2">
              <w:rPr>
                <w:rFonts w:ascii="Arial" w:hAnsi="Arial" w:cs="Arial"/>
                <w:sz w:val="24"/>
                <w:szCs w:val="24"/>
              </w:rPr>
              <w:t xml:space="preserve"> X</w:t>
            </w:r>
            <w:r w:rsidR="000355CD">
              <w:rPr>
                <w:rFonts w:ascii="Arial" w:hAnsi="Arial" w:cs="Arial"/>
                <w:sz w:val="24"/>
                <w:szCs w:val="24"/>
              </w:rPr>
              <w:t xml:space="preserve"> </w:t>
            </w:r>
            <w:r w:rsidR="002B772C">
              <w:rPr>
                <w:rFonts w:ascii="Arial" w:hAnsi="Arial" w:cs="Arial"/>
                <w:sz w:val="24"/>
                <w:szCs w:val="24"/>
              </w:rPr>
              <w:t>100 =</w:t>
            </w:r>
            <w:r w:rsidR="000355CD">
              <w:rPr>
                <w:rFonts w:ascii="Arial" w:hAnsi="Arial" w:cs="Arial"/>
                <w:sz w:val="24"/>
                <w:szCs w:val="24"/>
              </w:rPr>
              <w:t xml:space="preserve"> </w:t>
            </w:r>
            <w:r>
              <w:rPr>
                <w:rFonts w:ascii="Arial" w:hAnsi="Arial" w:cs="Arial"/>
                <w:sz w:val="24"/>
                <w:szCs w:val="24"/>
              </w:rPr>
              <w:t>?</w:t>
            </w:r>
            <w:r w:rsidR="000355CD">
              <w:rPr>
                <w:rFonts w:ascii="Arial" w:hAnsi="Arial" w:cs="Arial"/>
                <w:sz w:val="24"/>
                <w:szCs w:val="24"/>
              </w:rPr>
              <w:t xml:space="preserve"> %</w:t>
            </w:r>
          </w:p>
          <w:p w:rsidR="000355CD" w:rsidRDefault="000355CD" w:rsidP="000355CD">
            <w:pPr>
              <w:rPr>
                <w:rFonts w:ascii="Arial" w:hAnsi="Arial" w:cs="Arial"/>
                <w:sz w:val="24"/>
                <w:szCs w:val="24"/>
              </w:rPr>
            </w:pPr>
            <w:r>
              <w:rPr>
                <w:rFonts w:ascii="Arial" w:hAnsi="Arial" w:cs="Arial"/>
                <w:sz w:val="24"/>
                <w:szCs w:val="24"/>
              </w:rPr>
              <w:t xml:space="preserve">     </w:t>
            </w:r>
            <w:r w:rsidR="009E1445">
              <w:rPr>
                <w:rFonts w:ascii="Arial" w:hAnsi="Arial" w:cs="Arial"/>
                <w:sz w:val="24"/>
                <w:szCs w:val="24"/>
              </w:rPr>
              <w:t>1 month</w:t>
            </w:r>
            <w:r>
              <w:rPr>
                <w:rFonts w:ascii="Arial" w:hAnsi="Arial" w:cs="Arial"/>
                <w:sz w:val="24"/>
                <w:szCs w:val="24"/>
              </w:rPr>
              <w:t xml:space="preserve"> </w:t>
            </w:r>
          </w:p>
          <w:p w:rsidR="00395111" w:rsidRPr="00F120C2" w:rsidRDefault="00395111" w:rsidP="00C234CA">
            <w:pPr>
              <w:rPr>
                <w:rFonts w:ascii="Arial" w:hAnsi="Arial" w:cs="Arial"/>
                <w:sz w:val="24"/>
                <w:szCs w:val="24"/>
              </w:rPr>
            </w:pPr>
          </w:p>
        </w:tc>
      </w:tr>
      <w:tr w:rsidR="00395111" w:rsidTr="00C234CA">
        <w:tc>
          <w:tcPr>
            <w:tcW w:w="2660" w:type="dxa"/>
            <w:shd w:val="clear" w:color="auto" w:fill="D9D9D9" w:themeFill="background1" w:themeFillShade="D9"/>
          </w:tcPr>
          <w:p w:rsidR="00395111" w:rsidRPr="00D926A6" w:rsidRDefault="00395111" w:rsidP="00C234CA">
            <w:pPr>
              <w:rPr>
                <w:rFonts w:ascii="Arial" w:hAnsi="Arial" w:cs="Arial"/>
                <w:color w:val="000000" w:themeColor="text1"/>
                <w:sz w:val="24"/>
                <w:szCs w:val="24"/>
              </w:rPr>
            </w:pPr>
            <w:r w:rsidRPr="00D926A6">
              <w:rPr>
                <w:rFonts w:ascii="Arial" w:hAnsi="Arial" w:cs="Arial"/>
                <w:color w:val="000000" w:themeColor="text1"/>
                <w:sz w:val="24"/>
                <w:szCs w:val="24"/>
              </w:rPr>
              <w:t>Why are we measuring this:</w:t>
            </w:r>
          </w:p>
        </w:tc>
        <w:tc>
          <w:tcPr>
            <w:tcW w:w="6582" w:type="dxa"/>
            <w:gridSpan w:val="3"/>
          </w:tcPr>
          <w:p w:rsidR="001B4807" w:rsidRDefault="009E1445" w:rsidP="001B4807">
            <w:pPr>
              <w:pStyle w:val="ListParagraph"/>
              <w:numPr>
                <w:ilvl w:val="0"/>
                <w:numId w:val="3"/>
              </w:numPr>
              <w:ind w:left="317" w:hanging="283"/>
              <w:rPr>
                <w:rFonts w:ascii="Arial" w:hAnsi="Arial" w:cs="Arial"/>
                <w:color w:val="000000" w:themeColor="text1"/>
                <w:sz w:val="24"/>
                <w:szCs w:val="24"/>
              </w:rPr>
            </w:pPr>
            <w:r>
              <w:rPr>
                <w:rFonts w:ascii="Arial" w:hAnsi="Arial" w:cs="Arial"/>
                <w:color w:val="000000" w:themeColor="text1"/>
                <w:sz w:val="24"/>
                <w:szCs w:val="24"/>
              </w:rPr>
              <w:t>Acknowledgment of efficiency savings and the advantages of collaborative working</w:t>
            </w:r>
          </w:p>
          <w:p w:rsidR="009E1445" w:rsidRPr="00D926A6" w:rsidRDefault="009E1445" w:rsidP="001B4807">
            <w:pPr>
              <w:pStyle w:val="ListParagraph"/>
              <w:numPr>
                <w:ilvl w:val="0"/>
                <w:numId w:val="3"/>
              </w:numPr>
              <w:ind w:left="317" w:hanging="283"/>
              <w:rPr>
                <w:rFonts w:ascii="Arial" w:hAnsi="Arial" w:cs="Arial"/>
                <w:color w:val="000000" w:themeColor="text1"/>
                <w:sz w:val="24"/>
                <w:szCs w:val="24"/>
              </w:rPr>
            </w:pPr>
            <w:r>
              <w:rPr>
                <w:rFonts w:ascii="Arial" w:hAnsi="Arial" w:cs="Arial"/>
                <w:color w:val="000000" w:themeColor="text1"/>
                <w:sz w:val="24"/>
                <w:szCs w:val="24"/>
              </w:rPr>
              <w:t>To continuously improve and drive down cost</w:t>
            </w:r>
          </w:p>
          <w:p w:rsidR="00395111" w:rsidRPr="00D926A6" w:rsidRDefault="00DD56AD" w:rsidP="001B4807">
            <w:pPr>
              <w:pStyle w:val="ListParagraph"/>
              <w:numPr>
                <w:ilvl w:val="0"/>
                <w:numId w:val="3"/>
              </w:numPr>
              <w:ind w:left="317" w:hanging="283"/>
              <w:rPr>
                <w:rFonts w:ascii="Arial" w:hAnsi="Arial" w:cs="Arial"/>
                <w:color w:val="000000" w:themeColor="text1"/>
              </w:rPr>
            </w:pPr>
            <w:r w:rsidRPr="00D926A6">
              <w:rPr>
                <w:rFonts w:ascii="Arial" w:hAnsi="Arial" w:cs="Arial"/>
                <w:color w:val="000000" w:themeColor="text1"/>
                <w:sz w:val="24"/>
                <w:szCs w:val="24"/>
              </w:rPr>
              <w:t>Other LH</w:t>
            </w:r>
            <w:r w:rsidR="00395111" w:rsidRPr="00D926A6">
              <w:rPr>
                <w:rFonts w:ascii="Arial" w:hAnsi="Arial" w:cs="Arial"/>
                <w:color w:val="000000" w:themeColor="text1"/>
                <w:sz w:val="24"/>
                <w:szCs w:val="24"/>
              </w:rPr>
              <w:t>A objective</w:t>
            </w:r>
            <w:r w:rsidR="00395111" w:rsidRPr="00D926A6">
              <w:rPr>
                <w:rFonts w:ascii="Arial" w:hAnsi="Arial" w:cs="Arial"/>
                <w:color w:val="000000" w:themeColor="text1"/>
              </w:rPr>
              <w:t xml:space="preserve"> </w:t>
            </w:r>
          </w:p>
        </w:tc>
      </w:tr>
      <w:tr w:rsidR="00395111" w:rsidTr="00C234CA">
        <w:tc>
          <w:tcPr>
            <w:tcW w:w="2660" w:type="dxa"/>
            <w:shd w:val="clear" w:color="auto" w:fill="D9D9D9" w:themeFill="background1" w:themeFillShade="D9"/>
          </w:tcPr>
          <w:p w:rsidR="00395111" w:rsidRPr="00894CA4" w:rsidRDefault="00395111" w:rsidP="00C234CA">
            <w:pPr>
              <w:rPr>
                <w:rFonts w:ascii="Arial" w:hAnsi="Arial" w:cs="Arial"/>
                <w:sz w:val="24"/>
                <w:szCs w:val="24"/>
              </w:rPr>
            </w:pPr>
            <w:r w:rsidRPr="00894CA4">
              <w:rPr>
                <w:rFonts w:ascii="Arial" w:hAnsi="Arial" w:cs="Arial"/>
                <w:sz w:val="24"/>
                <w:szCs w:val="24"/>
              </w:rPr>
              <w:t>How might measuring this make people behave</w:t>
            </w:r>
            <w:r>
              <w:rPr>
                <w:rFonts w:ascii="Arial" w:hAnsi="Arial" w:cs="Arial"/>
                <w:sz w:val="24"/>
                <w:szCs w:val="24"/>
              </w:rPr>
              <w:t xml:space="preserve"> and improve</w:t>
            </w:r>
            <w:r w:rsidRPr="00894CA4">
              <w:rPr>
                <w:rFonts w:ascii="Arial" w:hAnsi="Arial" w:cs="Arial"/>
                <w:sz w:val="24"/>
                <w:szCs w:val="24"/>
              </w:rPr>
              <w:t>:</w:t>
            </w:r>
          </w:p>
        </w:tc>
        <w:tc>
          <w:tcPr>
            <w:tcW w:w="6582" w:type="dxa"/>
            <w:gridSpan w:val="3"/>
          </w:tcPr>
          <w:p w:rsidR="009E1445" w:rsidRPr="00D926A6" w:rsidRDefault="009E1445" w:rsidP="009E1445">
            <w:pPr>
              <w:pStyle w:val="ListParagraph"/>
              <w:numPr>
                <w:ilvl w:val="0"/>
                <w:numId w:val="3"/>
              </w:numPr>
              <w:ind w:left="317" w:hanging="283"/>
              <w:rPr>
                <w:rFonts w:ascii="Arial" w:hAnsi="Arial" w:cs="Arial"/>
                <w:color w:val="000000" w:themeColor="text1"/>
                <w:sz w:val="24"/>
                <w:szCs w:val="24"/>
              </w:rPr>
            </w:pPr>
            <w:r>
              <w:rPr>
                <w:rFonts w:ascii="Arial" w:hAnsi="Arial" w:cs="Arial"/>
                <w:color w:val="000000" w:themeColor="text1"/>
                <w:sz w:val="24"/>
                <w:szCs w:val="24"/>
              </w:rPr>
              <w:t>Mind set and joint culture to continuously improve and drive down cost</w:t>
            </w:r>
          </w:p>
          <w:p w:rsidR="004C2AC4" w:rsidRDefault="009E1445" w:rsidP="00C234CA">
            <w:pPr>
              <w:pStyle w:val="ListParagraph"/>
              <w:numPr>
                <w:ilvl w:val="0"/>
                <w:numId w:val="4"/>
              </w:numPr>
              <w:ind w:left="317" w:hanging="283"/>
              <w:rPr>
                <w:rFonts w:ascii="Arial" w:hAnsi="Arial" w:cs="Arial"/>
                <w:sz w:val="24"/>
                <w:szCs w:val="24"/>
              </w:rPr>
            </w:pPr>
            <w:r>
              <w:rPr>
                <w:rFonts w:ascii="Arial" w:hAnsi="Arial" w:cs="Arial"/>
                <w:sz w:val="24"/>
                <w:szCs w:val="24"/>
              </w:rPr>
              <w:t>Actively participate in ECI for scheme work</w:t>
            </w:r>
          </w:p>
          <w:p w:rsidR="00395111" w:rsidRPr="00112D77" w:rsidRDefault="009E1445" w:rsidP="004C2AC4">
            <w:pPr>
              <w:pStyle w:val="ListParagraph"/>
              <w:numPr>
                <w:ilvl w:val="0"/>
                <w:numId w:val="4"/>
              </w:numPr>
              <w:ind w:left="317" w:hanging="283"/>
              <w:rPr>
                <w:rFonts w:ascii="Arial" w:hAnsi="Arial" w:cs="Arial"/>
                <w:sz w:val="24"/>
                <w:szCs w:val="24"/>
              </w:rPr>
            </w:pPr>
            <w:r>
              <w:rPr>
                <w:rFonts w:ascii="Arial" w:hAnsi="Arial" w:cs="Arial"/>
                <w:sz w:val="24"/>
                <w:szCs w:val="24"/>
              </w:rPr>
              <w:t>To consider alternatives not “more of the same”</w:t>
            </w:r>
            <w:r w:rsidR="00395111" w:rsidRPr="00112D77">
              <w:rPr>
                <w:rFonts w:ascii="Arial" w:hAnsi="Arial" w:cs="Arial"/>
                <w:color w:val="FF0000"/>
                <w:sz w:val="24"/>
                <w:szCs w:val="24"/>
              </w:rPr>
              <w:t xml:space="preserve"> </w:t>
            </w:r>
          </w:p>
        </w:tc>
      </w:tr>
      <w:tr w:rsidR="00395111" w:rsidTr="00C234CA">
        <w:tc>
          <w:tcPr>
            <w:tcW w:w="2660" w:type="dxa"/>
            <w:shd w:val="clear" w:color="auto" w:fill="D9D9D9" w:themeFill="background1" w:themeFillShade="D9"/>
          </w:tcPr>
          <w:p w:rsidR="00395111" w:rsidRPr="00894CA4" w:rsidRDefault="00395111" w:rsidP="00C234CA">
            <w:pPr>
              <w:rPr>
                <w:rFonts w:ascii="Arial" w:hAnsi="Arial" w:cs="Arial"/>
                <w:sz w:val="24"/>
                <w:szCs w:val="24"/>
              </w:rPr>
            </w:pPr>
            <w:r w:rsidRPr="00894CA4">
              <w:rPr>
                <w:rFonts w:ascii="Arial" w:hAnsi="Arial" w:cs="Arial"/>
                <w:sz w:val="24"/>
                <w:szCs w:val="24"/>
              </w:rPr>
              <w:t>How the data will be collected and on what frequency:</w:t>
            </w:r>
          </w:p>
        </w:tc>
        <w:tc>
          <w:tcPr>
            <w:tcW w:w="6582" w:type="dxa"/>
            <w:gridSpan w:val="3"/>
          </w:tcPr>
          <w:p w:rsidR="00395111" w:rsidRPr="00442F61" w:rsidRDefault="004C2AC4" w:rsidP="00323E28">
            <w:pPr>
              <w:rPr>
                <w:rFonts w:ascii="Arial" w:hAnsi="Arial" w:cs="Arial"/>
                <w:sz w:val="24"/>
                <w:szCs w:val="24"/>
              </w:rPr>
            </w:pPr>
            <w:r>
              <w:rPr>
                <w:rFonts w:ascii="Arial" w:hAnsi="Arial" w:cs="Arial"/>
                <w:sz w:val="24"/>
                <w:szCs w:val="24"/>
              </w:rPr>
              <w:t>Contractor to furnish the percentage information to service manager on the agreed KPI spreadsheet.</w:t>
            </w:r>
            <w:r w:rsidR="00323E28">
              <w:rPr>
                <w:rFonts w:ascii="Arial" w:hAnsi="Arial" w:cs="Arial"/>
                <w:sz w:val="24"/>
                <w:szCs w:val="24"/>
              </w:rPr>
              <w:t xml:space="preserve"> By first Tuesday of every month</w:t>
            </w:r>
            <w:r>
              <w:rPr>
                <w:rFonts w:ascii="Arial" w:hAnsi="Arial" w:cs="Arial"/>
                <w:sz w:val="24"/>
                <w:szCs w:val="24"/>
              </w:rPr>
              <w:t xml:space="preserve">  </w:t>
            </w:r>
          </w:p>
        </w:tc>
      </w:tr>
      <w:tr w:rsidR="00395111" w:rsidTr="00C234CA">
        <w:tc>
          <w:tcPr>
            <w:tcW w:w="2660" w:type="dxa"/>
            <w:shd w:val="clear" w:color="auto" w:fill="D9D9D9" w:themeFill="background1" w:themeFillShade="D9"/>
          </w:tcPr>
          <w:p w:rsidR="00395111" w:rsidRPr="00894CA4" w:rsidRDefault="00395111" w:rsidP="00C234CA">
            <w:pPr>
              <w:rPr>
                <w:rFonts w:ascii="Arial" w:hAnsi="Arial" w:cs="Arial"/>
                <w:sz w:val="24"/>
                <w:szCs w:val="24"/>
              </w:rPr>
            </w:pPr>
            <w:r w:rsidRPr="00894CA4">
              <w:rPr>
                <w:rFonts w:ascii="Arial" w:hAnsi="Arial" w:cs="Arial"/>
                <w:sz w:val="24"/>
                <w:szCs w:val="24"/>
              </w:rPr>
              <w:t xml:space="preserve">What action will be taken if Target below target: </w:t>
            </w:r>
          </w:p>
        </w:tc>
        <w:tc>
          <w:tcPr>
            <w:tcW w:w="6582" w:type="dxa"/>
            <w:gridSpan w:val="3"/>
          </w:tcPr>
          <w:p w:rsidR="00395111" w:rsidRPr="00112D77" w:rsidRDefault="00395111" w:rsidP="00C234CA">
            <w:pPr>
              <w:pStyle w:val="ListParagraph"/>
              <w:numPr>
                <w:ilvl w:val="0"/>
                <w:numId w:val="4"/>
              </w:numPr>
              <w:ind w:left="317" w:hanging="283"/>
              <w:rPr>
                <w:rFonts w:ascii="Arial" w:hAnsi="Arial" w:cs="Arial"/>
                <w:sz w:val="24"/>
                <w:szCs w:val="24"/>
              </w:rPr>
            </w:pPr>
            <w:r w:rsidRPr="00112D77">
              <w:rPr>
                <w:rFonts w:ascii="Arial" w:hAnsi="Arial" w:cs="Arial"/>
                <w:sz w:val="24"/>
                <w:szCs w:val="24"/>
              </w:rPr>
              <w:t xml:space="preserve">Will effect pain / gain calculation </w:t>
            </w:r>
          </w:p>
          <w:p w:rsidR="00395111" w:rsidRPr="00112D77" w:rsidRDefault="00395111" w:rsidP="00C234CA">
            <w:pPr>
              <w:pStyle w:val="ListParagraph"/>
              <w:numPr>
                <w:ilvl w:val="0"/>
                <w:numId w:val="4"/>
              </w:numPr>
              <w:ind w:left="317" w:hanging="283"/>
              <w:rPr>
                <w:rFonts w:ascii="Arial" w:hAnsi="Arial" w:cs="Arial"/>
                <w:sz w:val="24"/>
                <w:szCs w:val="24"/>
              </w:rPr>
            </w:pPr>
            <w:r w:rsidRPr="00112D77">
              <w:rPr>
                <w:rFonts w:ascii="Arial" w:hAnsi="Arial" w:cs="Arial"/>
                <w:sz w:val="24"/>
                <w:szCs w:val="24"/>
              </w:rPr>
              <w:t xml:space="preserve">Reasons for </w:t>
            </w:r>
            <w:r w:rsidR="00E212CE">
              <w:rPr>
                <w:rFonts w:ascii="Arial" w:hAnsi="Arial" w:cs="Arial"/>
                <w:sz w:val="24"/>
                <w:szCs w:val="24"/>
              </w:rPr>
              <w:t xml:space="preserve">failure </w:t>
            </w:r>
            <w:r w:rsidR="00C234CA">
              <w:rPr>
                <w:rFonts w:ascii="Arial" w:hAnsi="Arial" w:cs="Arial"/>
                <w:sz w:val="24"/>
                <w:szCs w:val="24"/>
              </w:rPr>
              <w:t>and corrective</w:t>
            </w:r>
            <w:r w:rsidR="00E212CE">
              <w:rPr>
                <w:rFonts w:ascii="Arial" w:hAnsi="Arial" w:cs="Arial"/>
                <w:sz w:val="24"/>
                <w:szCs w:val="24"/>
              </w:rPr>
              <w:t xml:space="preserve"> action to be undertaken to be jointly agreed </w:t>
            </w:r>
            <w:r w:rsidR="00C234CA">
              <w:rPr>
                <w:rFonts w:ascii="Arial" w:hAnsi="Arial" w:cs="Arial"/>
                <w:sz w:val="24"/>
                <w:szCs w:val="24"/>
              </w:rPr>
              <w:t>and</w:t>
            </w:r>
            <w:r w:rsidR="00E212CE">
              <w:rPr>
                <w:rFonts w:ascii="Arial" w:hAnsi="Arial" w:cs="Arial"/>
                <w:sz w:val="24"/>
                <w:szCs w:val="24"/>
              </w:rPr>
              <w:t xml:space="preserve"> monitored at monthly management meetings</w:t>
            </w:r>
            <w:r w:rsidR="00B622BE">
              <w:rPr>
                <w:rFonts w:ascii="Arial" w:hAnsi="Arial" w:cs="Arial"/>
                <w:sz w:val="24"/>
                <w:szCs w:val="24"/>
              </w:rPr>
              <w:t>.</w:t>
            </w:r>
          </w:p>
          <w:p w:rsidR="00395111" w:rsidRPr="00112D77" w:rsidRDefault="00395111" w:rsidP="00C234CA">
            <w:pPr>
              <w:pStyle w:val="ListParagraph"/>
              <w:numPr>
                <w:ilvl w:val="0"/>
                <w:numId w:val="4"/>
              </w:numPr>
              <w:ind w:left="317" w:hanging="283"/>
              <w:rPr>
                <w:rFonts w:ascii="Arial" w:hAnsi="Arial" w:cs="Arial"/>
                <w:sz w:val="24"/>
                <w:szCs w:val="24"/>
              </w:rPr>
            </w:pPr>
            <w:r w:rsidRPr="00112D77">
              <w:rPr>
                <w:rFonts w:ascii="Arial" w:hAnsi="Arial" w:cs="Arial"/>
                <w:color w:val="FF0000"/>
                <w:sz w:val="24"/>
                <w:szCs w:val="24"/>
              </w:rPr>
              <w:t>Other LHA objective</w:t>
            </w:r>
          </w:p>
        </w:tc>
      </w:tr>
      <w:tr w:rsidR="00395111" w:rsidTr="00C234CA">
        <w:tc>
          <w:tcPr>
            <w:tcW w:w="2660" w:type="dxa"/>
            <w:tcBorders>
              <w:bottom w:val="single" w:sz="4" w:space="0" w:color="auto"/>
            </w:tcBorders>
            <w:shd w:val="clear" w:color="auto" w:fill="D9D9D9" w:themeFill="background1" w:themeFillShade="D9"/>
          </w:tcPr>
          <w:p w:rsidR="00395111" w:rsidRPr="00D926A6" w:rsidRDefault="00395111" w:rsidP="00C234CA">
            <w:pPr>
              <w:rPr>
                <w:rFonts w:ascii="Arial" w:hAnsi="Arial" w:cs="Arial"/>
                <w:color w:val="000000" w:themeColor="text1"/>
                <w:sz w:val="24"/>
                <w:szCs w:val="24"/>
              </w:rPr>
            </w:pPr>
            <w:r w:rsidRPr="00D926A6">
              <w:rPr>
                <w:rFonts w:ascii="Arial" w:hAnsi="Arial" w:cs="Arial"/>
                <w:color w:val="000000" w:themeColor="text1"/>
                <w:sz w:val="24"/>
                <w:szCs w:val="24"/>
              </w:rPr>
              <w:t>Who will this target be benchmarked against</w:t>
            </w:r>
          </w:p>
        </w:tc>
        <w:tc>
          <w:tcPr>
            <w:tcW w:w="6582" w:type="dxa"/>
            <w:gridSpan w:val="3"/>
            <w:tcBorders>
              <w:bottom w:val="single" w:sz="4" w:space="0" w:color="auto"/>
            </w:tcBorders>
          </w:tcPr>
          <w:p w:rsidR="00E212CE" w:rsidRPr="00D926A6" w:rsidRDefault="00395111" w:rsidP="00323E28">
            <w:pPr>
              <w:pStyle w:val="ListParagraph"/>
              <w:numPr>
                <w:ilvl w:val="0"/>
                <w:numId w:val="5"/>
              </w:numPr>
              <w:ind w:left="317" w:hanging="283"/>
              <w:rPr>
                <w:rFonts w:ascii="Arial" w:hAnsi="Arial" w:cs="Arial"/>
                <w:color w:val="000000" w:themeColor="text1"/>
                <w:sz w:val="24"/>
                <w:szCs w:val="24"/>
              </w:rPr>
            </w:pPr>
            <w:r w:rsidRPr="00D926A6">
              <w:rPr>
                <w:rFonts w:ascii="Arial" w:hAnsi="Arial" w:cs="Arial"/>
                <w:color w:val="000000" w:themeColor="text1"/>
                <w:sz w:val="24"/>
                <w:szCs w:val="24"/>
              </w:rPr>
              <w:t xml:space="preserve">MHA members at the quarterly </w:t>
            </w:r>
            <w:r w:rsidR="00E77FA1" w:rsidRPr="00D926A6">
              <w:rPr>
                <w:rFonts w:ascii="Arial" w:hAnsi="Arial" w:cs="Arial"/>
                <w:color w:val="000000" w:themeColor="text1"/>
                <w:sz w:val="24"/>
                <w:szCs w:val="24"/>
              </w:rPr>
              <w:t>T</w:t>
            </w:r>
            <w:r w:rsidRPr="00D926A6">
              <w:rPr>
                <w:rFonts w:ascii="Arial" w:hAnsi="Arial" w:cs="Arial"/>
                <w:color w:val="000000" w:themeColor="text1"/>
                <w:sz w:val="24"/>
                <w:szCs w:val="24"/>
              </w:rPr>
              <w:t>CB meetings</w:t>
            </w:r>
            <w:r w:rsidR="00E10E93" w:rsidRPr="00D926A6">
              <w:rPr>
                <w:rFonts w:ascii="Arial" w:hAnsi="Arial" w:cs="Arial"/>
                <w:color w:val="000000" w:themeColor="text1"/>
                <w:sz w:val="24"/>
                <w:szCs w:val="24"/>
              </w:rPr>
              <w:t xml:space="preserve"> to include </w:t>
            </w:r>
            <w:r w:rsidR="00323E28">
              <w:rPr>
                <w:rFonts w:ascii="Arial" w:hAnsi="Arial" w:cs="Arial"/>
                <w:color w:val="000000" w:themeColor="text1"/>
                <w:sz w:val="24"/>
                <w:szCs w:val="24"/>
              </w:rPr>
              <w:t>dissemination of successes (and non successful attempts)</w:t>
            </w:r>
          </w:p>
        </w:tc>
      </w:tr>
      <w:tr w:rsidR="00395111" w:rsidTr="00C234CA">
        <w:tc>
          <w:tcPr>
            <w:tcW w:w="2660" w:type="dxa"/>
            <w:tcBorders>
              <w:left w:val="nil"/>
              <w:right w:val="nil"/>
            </w:tcBorders>
            <w:shd w:val="clear" w:color="auto" w:fill="FFFFFF" w:themeFill="background1"/>
          </w:tcPr>
          <w:p w:rsidR="00395111" w:rsidRPr="00894CA4" w:rsidRDefault="00395111" w:rsidP="00C234CA">
            <w:pPr>
              <w:rPr>
                <w:rFonts w:ascii="Arial" w:hAnsi="Arial" w:cs="Arial"/>
                <w:sz w:val="24"/>
                <w:szCs w:val="24"/>
              </w:rPr>
            </w:pPr>
          </w:p>
        </w:tc>
        <w:tc>
          <w:tcPr>
            <w:tcW w:w="6582" w:type="dxa"/>
            <w:gridSpan w:val="3"/>
            <w:tcBorders>
              <w:left w:val="nil"/>
              <w:right w:val="nil"/>
            </w:tcBorders>
          </w:tcPr>
          <w:p w:rsidR="00395111" w:rsidRPr="00F120C2" w:rsidRDefault="00395111" w:rsidP="00C234CA">
            <w:pPr>
              <w:rPr>
                <w:rFonts w:ascii="Arial" w:hAnsi="Arial" w:cs="Arial"/>
              </w:rPr>
            </w:pPr>
          </w:p>
        </w:tc>
      </w:tr>
      <w:tr w:rsidR="00395111" w:rsidTr="00C234CA">
        <w:tc>
          <w:tcPr>
            <w:tcW w:w="2660" w:type="dxa"/>
            <w:shd w:val="clear" w:color="auto" w:fill="D9D9D9" w:themeFill="background1" w:themeFillShade="D9"/>
          </w:tcPr>
          <w:p w:rsidR="00395111" w:rsidRPr="00395111" w:rsidRDefault="00395111" w:rsidP="00C234CA">
            <w:pPr>
              <w:rPr>
                <w:rFonts w:ascii="Arial" w:hAnsi="Arial" w:cs="Arial"/>
                <w:b/>
                <w:sz w:val="28"/>
                <w:szCs w:val="28"/>
              </w:rPr>
            </w:pPr>
            <w:r w:rsidRPr="00395111">
              <w:rPr>
                <w:rFonts w:ascii="Arial" w:hAnsi="Arial" w:cs="Arial"/>
                <w:b/>
                <w:sz w:val="28"/>
                <w:szCs w:val="28"/>
              </w:rPr>
              <w:t>Transitional Goal</w:t>
            </w:r>
          </w:p>
        </w:tc>
        <w:tc>
          <w:tcPr>
            <w:tcW w:w="6582" w:type="dxa"/>
            <w:gridSpan w:val="3"/>
          </w:tcPr>
          <w:p w:rsidR="007B39B1" w:rsidRPr="001B4807" w:rsidRDefault="00323E28" w:rsidP="00D926A6">
            <w:pPr>
              <w:pStyle w:val="ListParagraph"/>
              <w:numPr>
                <w:ilvl w:val="0"/>
                <w:numId w:val="5"/>
              </w:numPr>
              <w:ind w:left="317" w:hanging="283"/>
              <w:rPr>
                <w:rFonts w:ascii="Arial" w:hAnsi="Arial" w:cs="Arial"/>
                <w:sz w:val="24"/>
                <w:szCs w:val="24"/>
              </w:rPr>
            </w:pPr>
            <w:r>
              <w:rPr>
                <w:rFonts w:ascii="Arial" w:hAnsi="Arial" w:cs="Arial"/>
                <w:sz w:val="24"/>
                <w:szCs w:val="24"/>
              </w:rPr>
              <w:t>To move towards a three pronged assessment, Cost, Quality and Customer. To consider the current work being carried out by HMEP</w:t>
            </w:r>
          </w:p>
        </w:tc>
      </w:tr>
      <w:tr w:rsidR="00395111" w:rsidTr="00C234CA">
        <w:tc>
          <w:tcPr>
            <w:tcW w:w="2660" w:type="dxa"/>
            <w:shd w:val="clear" w:color="auto" w:fill="D9D9D9" w:themeFill="background1" w:themeFillShade="D9"/>
          </w:tcPr>
          <w:p w:rsidR="00395111" w:rsidRPr="00894CA4" w:rsidRDefault="00395111" w:rsidP="00C234CA">
            <w:pPr>
              <w:rPr>
                <w:rFonts w:ascii="Arial" w:hAnsi="Arial" w:cs="Arial"/>
                <w:sz w:val="24"/>
                <w:szCs w:val="24"/>
              </w:rPr>
            </w:pPr>
            <w:r>
              <w:rPr>
                <w:rFonts w:ascii="Arial" w:hAnsi="Arial" w:cs="Arial"/>
                <w:sz w:val="24"/>
                <w:szCs w:val="24"/>
              </w:rPr>
              <w:t xml:space="preserve">How </w:t>
            </w:r>
            <w:r w:rsidRPr="00894CA4">
              <w:rPr>
                <w:rFonts w:ascii="Arial" w:hAnsi="Arial" w:cs="Arial"/>
                <w:sz w:val="24"/>
                <w:szCs w:val="24"/>
              </w:rPr>
              <w:t xml:space="preserve"> </w:t>
            </w:r>
          </w:p>
        </w:tc>
        <w:tc>
          <w:tcPr>
            <w:tcW w:w="6582" w:type="dxa"/>
            <w:gridSpan w:val="3"/>
          </w:tcPr>
          <w:p w:rsidR="00395111" w:rsidRPr="00395111" w:rsidRDefault="00D926A6" w:rsidP="00D926A6">
            <w:pPr>
              <w:rPr>
                <w:rFonts w:ascii="Arial" w:hAnsi="Arial" w:cs="Arial"/>
                <w:sz w:val="24"/>
                <w:szCs w:val="24"/>
              </w:rPr>
            </w:pPr>
            <w:r>
              <w:rPr>
                <w:rFonts w:ascii="Arial" w:hAnsi="Arial" w:cs="Arial"/>
                <w:sz w:val="24"/>
                <w:szCs w:val="24"/>
              </w:rPr>
              <w:t>Through TWG and</w:t>
            </w:r>
            <w:r w:rsidR="007B39B1">
              <w:rPr>
                <w:rFonts w:ascii="Arial" w:hAnsi="Arial" w:cs="Arial"/>
                <w:sz w:val="24"/>
                <w:szCs w:val="24"/>
              </w:rPr>
              <w:t xml:space="preserve"> TCB</w:t>
            </w:r>
            <w:r w:rsidR="001B4807">
              <w:rPr>
                <w:rFonts w:ascii="Arial" w:hAnsi="Arial" w:cs="Arial"/>
                <w:sz w:val="24"/>
                <w:szCs w:val="24"/>
              </w:rPr>
              <w:t xml:space="preserve"> </w:t>
            </w:r>
          </w:p>
        </w:tc>
      </w:tr>
      <w:tr w:rsidR="00395111" w:rsidTr="00C234CA">
        <w:tc>
          <w:tcPr>
            <w:tcW w:w="2660" w:type="dxa"/>
            <w:shd w:val="clear" w:color="auto" w:fill="D9D9D9" w:themeFill="background1" w:themeFillShade="D9"/>
          </w:tcPr>
          <w:p w:rsidR="00395111" w:rsidRPr="00894CA4" w:rsidRDefault="00395111" w:rsidP="00C234CA">
            <w:pPr>
              <w:rPr>
                <w:rFonts w:ascii="Arial" w:hAnsi="Arial" w:cs="Arial"/>
                <w:sz w:val="24"/>
                <w:szCs w:val="24"/>
              </w:rPr>
            </w:pPr>
          </w:p>
        </w:tc>
        <w:tc>
          <w:tcPr>
            <w:tcW w:w="6582" w:type="dxa"/>
            <w:gridSpan w:val="3"/>
          </w:tcPr>
          <w:p w:rsidR="00395111" w:rsidRPr="00395111" w:rsidRDefault="00395111" w:rsidP="00C234CA">
            <w:pPr>
              <w:rPr>
                <w:rFonts w:ascii="Arial" w:hAnsi="Arial" w:cs="Arial"/>
                <w:sz w:val="24"/>
                <w:szCs w:val="24"/>
              </w:rPr>
            </w:pPr>
          </w:p>
        </w:tc>
      </w:tr>
    </w:tbl>
    <w:p w:rsidR="00395111" w:rsidRPr="002703FC" w:rsidRDefault="00395111" w:rsidP="00E212CE">
      <w:pPr>
        <w:jc w:val="center"/>
        <w:rPr>
          <w:rFonts w:ascii="Arial" w:hAnsi="Arial" w:cs="Arial"/>
          <w:b/>
          <w:sz w:val="40"/>
          <w:szCs w:val="40"/>
        </w:rPr>
      </w:pPr>
    </w:p>
    <w:sectPr w:rsidR="00395111" w:rsidRPr="002703FC" w:rsidSect="00395111">
      <w:pgSz w:w="11906" w:h="16838"/>
      <w:pgMar w:top="397"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5pt;height:29.25pt" o:bullet="t">
        <v:imagedata r:id="rId1" o:title=""/>
      </v:shape>
    </w:pict>
  </w:numPicBullet>
  <w:abstractNum w:abstractNumId="0">
    <w:nsid w:val="0AB57EE4"/>
    <w:multiLevelType w:val="hybridMultilevel"/>
    <w:tmpl w:val="E0BA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FC4C67"/>
    <w:multiLevelType w:val="hybridMultilevel"/>
    <w:tmpl w:val="7E2E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856AC2"/>
    <w:multiLevelType w:val="hybridMultilevel"/>
    <w:tmpl w:val="DE74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9551F5"/>
    <w:multiLevelType w:val="hybridMultilevel"/>
    <w:tmpl w:val="67DA8EBC"/>
    <w:lvl w:ilvl="0" w:tplc="56CEB2D2">
      <w:start w:val="1"/>
      <w:numFmt w:val="bullet"/>
      <w:lvlText w:val=""/>
      <w:lvlPicBulletId w:val="0"/>
      <w:lvlJc w:val="left"/>
      <w:pPr>
        <w:ind w:left="720" w:hanging="360"/>
      </w:pPr>
      <w:rPr>
        <w:rFonts w:ascii="Symbol" w:hAnsi="Symbol" w:hint="default"/>
        <w:color w:val="auto"/>
      </w:rPr>
    </w:lvl>
    <w:lvl w:ilvl="1" w:tplc="3CE6A31A">
      <w:start w:val="1"/>
      <w:numFmt w:val="bullet"/>
      <w:lvlText w:val=""/>
      <w:lvlJc w:val="left"/>
      <w:pPr>
        <w:tabs>
          <w:tab w:val="num" w:pos="1040"/>
        </w:tabs>
        <w:ind w:left="1420" w:hanging="34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352E17"/>
    <w:multiLevelType w:val="hybridMultilevel"/>
    <w:tmpl w:val="BDA855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16D0CA0"/>
    <w:multiLevelType w:val="hybridMultilevel"/>
    <w:tmpl w:val="F38A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E609D1"/>
    <w:multiLevelType w:val="hybridMultilevel"/>
    <w:tmpl w:val="8270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070F29"/>
    <w:multiLevelType w:val="hybridMultilevel"/>
    <w:tmpl w:val="9E324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6249FE"/>
    <w:multiLevelType w:val="hybridMultilevel"/>
    <w:tmpl w:val="657E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716EA6"/>
    <w:multiLevelType w:val="hybridMultilevel"/>
    <w:tmpl w:val="6ADE2862"/>
    <w:lvl w:ilvl="0" w:tplc="83F82B38">
      <w:start w:val="1"/>
      <w:numFmt w:val="bullet"/>
      <w:pStyle w:val="DEiBMainBullet051208"/>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0"/>
  </w:num>
  <w:num w:numId="6">
    <w:abstractNumId w:val="1"/>
  </w:num>
  <w:num w:numId="7">
    <w:abstractNumId w:val="8"/>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FC"/>
    <w:rsid w:val="00006B35"/>
    <w:rsid w:val="00032866"/>
    <w:rsid w:val="000355CD"/>
    <w:rsid w:val="00067B0E"/>
    <w:rsid w:val="000862A1"/>
    <w:rsid w:val="000B1334"/>
    <w:rsid w:val="000E369A"/>
    <w:rsid w:val="00112D77"/>
    <w:rsid w:val="00132403"/>
    <w:rsid w:val="00134B28"/>
    <w:rsid w:val="0016342A"/>
    <w:rsid w:val="001B21A0"/>
    <w:rsid w:val="001B4807"/>
    <w:rsid w:val="002703FC"/>
    <w:rsid w:val="002968FC"/>
    <w:rsid w:val="002B772C"/>
    <w:rsid w:val="0030046C"/>
    <w:rsid w:val="00323E28"/>
    <w:rsid w:val="00325BE4"/>
    <w:rsid w:val="00341682"/>
    <w:rsid w:val="00346096"/>
    <w:rsid w:val="00395111"/>
    <w:rsid w:val="00433E88"/>
    <w:rsid w:val="00442F61"/>
    <w:rsid w:val="0044366D"/>
    <w:rsid w:val="00452401"/>
    <w:rsid w:val="00480A4A"/>
    <w:rsid w:val="00482D9E"/>
    <w:rsid w:val="004B315C"/>
    <w:rsid w:val="004C2AC4"/>
    <w:rsid w:val="00526B57"/>
    <w:rsid w:val="00547426"/>
    <w:rsid w:val="00593F62"/>
    <w:rsid w:val="006049B3"/>
    <w:rsid w:val="006475B5"/>
    <w:rsid w:val="00670FDF"/>
    <w:rsid w:val="007B39B1"/>
    <w:rsid w:val="007C2114"/>
    <w:rsid w:val="00894CA4"/>
    <w:rsid w:val="00927452"/>
    <w:rsid w:val="00941278"/>
    <w:rsid w:val="009A494B"/>
    <w:rsid w:val="009E1445"/>
    <w:rsid w:val="00A379CD"/>
    <w:rsid w:val="00AE086E"/>
    <w:rsid w:val="00B13223"/>
    <w:rsid w:val="00B14026"/>
    <w:rsid w:val="00B14889"/>
    <w:rsid w:val="00B237AF"/>
    <w:rsid w:val="00B54825"/>
    <w:rsid w:val="00B622BE"/>
    <w:rsid w:val="00B74BED"/>
    <w:rsid w:val="00BD51EF"/>
    <w:rsid w:val="00C234CA"/>
    <w:rsid w:val="00C60729"/>
    <w:rsid w:val="00C84C20"/>
    <w:rsid w:val="00CB0725"/>
    <w:rsid w:val="00D52B68"/>
    <w:rsid w:val="00D622C0"/>
    <w:rsid w:val="00D6333F"/>
    <w:rsid w:val="00D926A6"/>
    <w:rsid w:val="00DD56AD"/>
    <w:rsid w:val="00DD6D02"/>
    <w:rsid w:val="00E033FC"/>
    <w:rsid w:val="00E10E93"/>
    <w:rsid w:val="00E212CE"/>
    <w:rsid w:val="00E7080A"/>
    <w:rsid w:val="00E77FA1"/>
    <w:rsid w:val="00F12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3FC"/>
    <w:pPr>
      <w:ind w:left="720"/>
      <w:contextualSpacing/>
    </w:pPr>
  </w:style>
  <w:style w:type="paragraph" w:styleId="BalloonText">
    <w:name w:val="Balloon Text"/>
    <w:basedOn w:val="Normal"/>
    <w:link w:val="BalloonTextChar"/>
    <w:uiPriority w:val="99"/>
    <w:semiHidden/>
    <w:unhideWhenUsed/>
    <w:rsid w:val="00270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3FC"/>
    <w:rPr>
      <w:rFonts w:ascii="Tahoma" w:hAnsi="Tahoma" w:cs="Tahoma"/>
      <w:sz w:val="16"/>
      <w:szCs w:val="16"/>
    </w:rPr>
  </w:style>
  <w:style w:type="paragraph" w:styleId="Footer">
    <w:name w:val="footer"/>
    <w:basedOn w:val="Normal"/>
    <w:link w:val="FooterChar"/>
    <w:rsid w:val="001B480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B4807"/>
    <w:rPr>
      <w:rFonts w:ascii="Times New Roman" w:eastAsia="Times New Roman" w:hAnsi="Times New Roman" w:cs="Times New Roman"/>
      <w:sz w:val="24"/>
      <w:szCs w:val="24"/>
    </w:rPr>
  </w:style>
  <w:style w:type="paragraph" w:customStyle="1" w:styleId="DEiBMainBullet051208">
    <w:name w:val="D  EiB Main Bullet 051208"/>
    <w:basedOn w:val="Normal"/>
    <w:autoRedefine/>
    <w:rsid w:val="001B4807"/>
    <w:pPr>
      <w:widowControl w:val="0"/>
      <w:numPr>
        <w:numId w:val="10"/>
      </w:numPr>
      <w:spacing w:after="0" w:line="240" w:lineRule="auto"/>
      <w:jc w:val="both"/>
    </w:pPr>
    <w:rPr>
      <w:rFonts w:ascii="Arial" w:eastAsia="Arial Unicode MS"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3FC"/>
    <w:pPr>
      <w:ind w:left="720"/>
      <w:contextualSpacing/>
    </w:pPr>
  </w:style>
  <w:style w:type="paragraph" w:styleId="BalloonText">
    <w:name w:val="Balloon Text"/>
    <w:basedOn w:val="Normal"/>
    <w:link w:val="BalloonTextChar"/>
    <w:uiPriority w:val="99"/>
    <w:semiHidden/>
    <w:unhideWhenUsed/>
    <w:rsid w:val="00270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3FC"/>
    <w:rPr>
      <w:rFonts w:ascii="Tahoma" w:hAnsi="Tahoma" w:cs="Tahoma"/>
      <w:sz w:val="16"/>
      <w:szCs w:val="16"/>
    </w:rPr>
  </w:style>
  <w:style w:type="paragraph" w:styleId="Footer">
    <w:name w:val="footer"/>
    <w:basedOn w:val="Normal"/>
    <w:link w:val="FooterChar"/>
    <w:rsid w:val="001B480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B4807"/>
    <w:rPr>
      <w:rFonts w:ascii="Times New Roman" w:eastAsia="Times New Roman" w:hAnsi="Times New Roman" w:cs="Times New Roman"/>
      <w:sz w:val="24"/>
      <w:szCs w:val="24"/>
    </w:rPr>
  </w:style>
  <w:style w:type="paragraph" w:customStyle="1" w:styleId="DEiBMainBullet051208">
    <w:name w:val="D  EiB Main Bullet 051208"/>
    <w:basedOn w:val="Normal"/>
    <w:autoRedefine/>
    <w:rsid w:val="001B4807"/>
    <w:pPr>
      <w:widowControl w:val="0"/>
      <w:numPr>
        <w:numId w:val="10"/>
      </w:numPr>
      <w:spacing w:after="0" w:line="240" w:lineRule="auto"/>
      <w:jc w:val="both"/>
    </w:pPr>
    <w:rPr>
      <w:rFonts w:ascii="Arial" w:eastAsia="Arial Unicode MS"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F6758-CE3E-4541-B2AE-C68AE920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Corbett</dc:creator>
  <cp:lastModifiedBy>Stewart Corbett</cp:lastModifiedBy>
  <cp:revision>2</cp:revision>
  <dcterms:created xsi:type="dcterms:W3CDTF">2017-05-04T11:06:00Z</dcterms:created>
  <dcterms:modified xsi:type="dcterms:W3CDTF">2017-05-04T11:06:00Z</dcterms:modified>
</cp:coreProperties>
</file>