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38B7A" w14:textId="689D90FD" w:rsidR="00C470F8" w:rsidRPr="00C470F8" w:rsidRDefault="00C470F8" w:rsidP="00C4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470F8">
        <w:rPr>
          <w:rFonts w:ascii="Arial" w:hAnsi="Arial" w:cs="Arial"/>
          <w:b/>
          <w:bCs/>
          <w:sz w:val="24"/>
          <w:szCs w:val="24"/>
        </w:rPr>
        <w:t xml:space="preserve">Midland Highway Alliance </w:t>
      </w:r>
      <w:r w:rsidR="00455012">
        <w:rPr>
          <w:rFonts w:ascii="Arial" w:hAnsi="Arial" w:cs="Arial"/>
          <w:b/>
          <w:bCs/>
          <w:sz w:val="24"/>
          <w:szCs w:val="24"/>
        </w:rPr>
        <w:t>P</w:t>
      </w:r>
      <w:r w:rsidRPr="00C470F8">
        <w:rPr>
          <w:rFonts w:ascii="Arial" w:hAnsi="Arial" w:cs="Arial"/>
          <w:b/>
          <w:bCs/>
          <w:sz w:val="24"/>
          <w:szCs w:val="24"/>
        </w:rPr>
        <w:t>lus</w:t>
      </w:r>
    </w:p>
    <w:p w14:paraId="778AA401" w14:textId="77777777" w:rsidR="00C470F8" w:rsidRDefault="00C470F8" w:rsidP="00C4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470F8">
        <w:rPr>
          <w:rFonts w:ascii="Arial" w:hAnsi="Arial" w:cs="Arial"/>
          <w:b/>
          <w:bCs/>
          <w:sz w:val="24"/>
          <w:szCs w:val="24"/>
        </w:rPr>
        <w:t>Project funding</w:t>
      </w:r>
    </w:p>
    <w:p w14:paraId="1CC2AEA8" w14:textId="77777777" w:rsidR="00C470F8" w:rsidRDefault="00C470F8" w:rsidP="00C4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8D6F15" w14:paraId="0CD95858" w14:textId="77777777" w:rsidTr="008D6F15">
        <w:tc>
          <w:tcPr>
            <w:tcW w:w="562" w:type="dxa"/>
            <w:shd w:val="clear" w:color="auto" w:fill="auto"/>
          </w:tcPr>
          <w:p w14:paraId="73B312E8" w14:textId="77777777" w:rsidR="008D6F15" w:rsidRPr="00A94ACD" w:rsidRDefault="008D6F15" w:rsidP="00C470F8">
            <w:pPr>
              <w:rPr>
                <w:rFonts w:ascii="Arial" w:hAnsi="Arial" w:cs="Arial"/>
                <w:sz w:val="20"/>
                <w:szCs w:val="20"/>
              </w:rPr>
            </w:pPr>
            <w:r w:rsidRPr="00A94AC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54" w:type="dxa"/>
            <w:shd w:val="clear" w:color="auto" w:fill="auto"/>
          </w:tcPr>
          <w:p w14:paraId="37E9511B" w14:textId="77777777" w:rsidR="008D6F15" w:rsidRDefault="008D112B" w:rsidP="00C470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Introduction</w:t>
            </w:r>
          </w:p>
        </w:tc>
      </w:tr>
      <w:tr w:rsidR="00A94ACD" w:rsidRPr="00A94ACD" w14:paraId="75A8F720" w14:textId="77777777" w:rsidTr="008D6F15">
        <w:tc>
          <w:tcPr>
            <w:tcW w:w="562" w:type="dxa"/>
            <w:shd w:val="clear" w:color="auto" w:fill="auto"/>
          </w:tcPr>
          <w:p w14:paraId="05E5517C" w14:textId="77777777" w:rsidR="00A94ACD" w:rsidRPr="00A94ACD" w:rsidRDefault="00A94ACD" w:rsidP="00C470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4" w:type="dxa"/>
            <w:shd w:val="clear" w:color="auto" w:fill="auto"/>
          </w:tcPr>
          <w:p w14:paraId="4973AC62" w14:textId="77777777" w:rsidR="00A94ACD" w:rsidRPr="00A94ACD" w:rsidRDefault="00A94ACD" w:rsidP="00C470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F15" w14:paraId="460C7E7E" w14:textId="77777777" w:rsidTr="008D6F15">
        <w:tc>
          <w:tcPr>
            <w:tcW w:w="562" w:type="dxa"/>
            <w:shd w:val="clear" w:color="auto" w:fill="auto"/>
          </w:tcPr>
          <w:p w14:paraId="3D818245" w14:textId="77777777" w:rsidR="008D6F15" w:rsidRPr="00A94ACD" w:rsidRDefault="004A300D" w:rsidP="00C470F8">
            <w:pPr>
              <w:rPr>
                <w:rFonts w:ascii="Arial" w:hAnsi="Arial" w:cs="Arial"/>
                <w:sz w:val="20"/>
                <w:szCs w:val="20"/>
              </w:rPr>
            </w:pPr>
            <w:r w:rsidRPr="00A94ACD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8454" w:type="dxa"/>
            <w:shd w:val="clear" w:color="auto" w:fill="auto"/>
          </w:tcPr>
          <w:p w14:paraId="2C6F5494" w14:textId="00F0A807" w:rsidR="008D6F15" w:rsidRPr="008D6F15" w:rsidRDefault="008D6F15" w:rsidP="00C47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Collaborative projects </w:t>
            </w:r>
            <w:r w:rsidR="00112670">
              <w:rPr>
                <w:rFonts w:ascii="Arial" w:hAnsi="Arial" w:cs="Arial"/>
                <w:sz w:val="24"/>
                <w:szCs w:val="24"/>
              </w:rPr>
              <w:t xml:space="preserve">continue to be </w:t>
            </w:r>
            <w:r>
              <w:rPr>
                <w:rFonts w:ascii="Arial" w:hAnsi="Arial" w:cs="Arial"/>
                <w:sz w:val="24"/>
                <w:szCs w:val="24"/>
              </w:rPr>
              <w:t>an intrinsic part of the</w:t>
            </w:r>
            <w:r w:rsidR="004A300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development of the alliance.</w:t>
            </w:r>
            <w:r w:rsidR="001126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DAE">
              <w:rPr>
                <w:rFonts w:ascii="Arial" w:hAnsi="Arial" w:cs="Arial"/>
                <w:sz w:val="24"/>
                <w:szCs w:val="24"/>
              </w:rPr>
              <w:t>MHA+ business planning has ensured that funding is available to enable effective collaboration and maximis</w:t>
            </w:r>
            <w:r w:rsidR="008D112B">
              <w:rPr>
                <w:rFonts w:ascii="Arial" w:hAnsi="Arial" w:cs="Arial"/>
                <w:sz w:val="24"/>
                <w:szCs w:val="24"/>
              </w:rPr>
              <w:t>e the expertise available to deliver projects</w:t>
            </w:r>
            <w:r w:rsidR="00A94ACD">
              <w:rPr>
                <w:rFonts w:ascii="Arial" w:hAnsi="Arial" w:cs="Arial"/>
                <w:sz w:val="24"/>
                <w:szCs w:val="24"/>
              </w:rPr>
              <w:t>.</w:t>
            </w:r>
            <w:r w:rsidR="007E7D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12670" w14:paraId="15133A25" w14:textId="77777777" w:rsidTr="008D6F15">
        <w:tc>
          <w:tcPr>
            <w:tcW w:w="562" w:type="dxa"/>
            <w:shd w:val="clear" w:color="auto" w:fill="auto"/>
          </w:tcPr>
          <w:p w14:paraId="685D819C" w14:textId="77777777" w:rsidR="00112670" w:rsidRPr="00A94ACD" w:rsidRDefault="00112670" w:rsidP="00C470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4" w:type="dxa"/>
            <w:shd w:val="clear" w:color="auto" w:fill="auto"/>
          </w:tcPr>
          <w:p w14:paraId="664235B4" w14:textId="30735EC3" w:rsidR="00112670" w:rsidRDefault="008D112B" w:rsidP="00C470F8">
            <w:pPr>
              <w:rPr>
                <w:rFonts w:ascii="Arial" w:hAnsi="Arial" w:cs="Arial"/>
                <w:sz w:val="24"/>
                <w:szCs w:val="24"/>
              </w:rPr>
            </w:pPr>
            <w:r w:rsidRPr="004A300D">
              <w:rPr>
                <w:rFonts w:ascii="Arial" w:hAnsi="Arial" w:cs="Arial"/>
                <w:sz w:val="24"/>
                <w:szCs w:val="24"/>
              </w:rPr>
              <w:t>As a preliminary, budget has been allocated for</w:t>
            </w:r>
            <w:r>
              <w:rPr>
                <w:rFonts w:ascii="Arial" w:hAnsi="Arial" w:cs="Arial"/>
                <w:sz w:val="24"/>
                <w:szCs w:val="24"/>
              </w:rPr>
              <w:t xml:space="preserve"> a Project Fund</w:t>
            </w:r>
            <w:r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sz w:val="24"/>
                <w:szCs w:val="24"/>
              </w:rPr>
              <w:t>. However, g</w:t>
            </w:r>
            <w:r w:rsidR="004A300D" w:rsidRPr="004A300D">
              <w:rPr>
                <w:rFonts w:ascii="Arial" w:hAnsi="Arial" w:cs="Arial"/>
                <w:sz w:val="24"/>
                <w:szCs w:val="24"/>
              </w:rPr>
              <w:t>iven the number of authorities who contribute to the funding of MHA+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4A300D" w:rsidRPr="004A300D">
              <w:rPr>
                <w:rFonts w:ascii="Arial" w:hAnsi="Arial" w:cs="Arial"/>
                <w:sz w:val="24"/>
                <w:szCs w:val="24"/>
              </w:rPr>
              <w:t xml:space="preserve"> more robust and transparent </w:t>
            </w:r>
            <w:r w:rsidR="00A94ACD">
              <w:rPr>
                <w:rFonts w:ascii="Arial" w:hAnsi="Arial" w:cs="Arial"/>
                <w:sz w:val="24"/>
                <w:szCs w:val="24"/>
              </w:rPr>
              <w:t xml:space="preserve">approval </w:t>
            </w:r>
            <w:r w:rsidR="004A300D" w:rsidRPr="004A300D">
              <w:rPr>
                <w:rFonts w:ascii="Arial" w:hAnsi="Arial" w:cs="Arial"/>
                <w:sz w:val="24"/>
                <w:szCs w:val="24"/>
              </w:rPr>
              <w:t xml:space="preserve">processes need to be in place. </w:t>
            </w:r>
          </w:p>
        </w:tc>
      </w:tr>
      <w:tr w:rsidR="008D112B" w:rsidRPr="008D112B" w14:paraId="187D9C49" w14:textId="77777777" w:rsidTr="008D6F15">
        <w:tc>
          <w:tcPr>
            <w:tcW w:w="562" w:type="dxa"/>
            <w:shd w:val="clear" w:color="auto" w:fill="auto"/>
          </w:tcPr>
          <w:p w14:paraId="7F003072" w14:textId="54040E34" w:rsidR="008D112B" w:rsidRPr="00A94ACD" w:rsidRDefault="008D112B" w:rsidP="00C470F8">
            <w:pPr>
              <w:rPr>
                <w:rFonts w:ascii="Arial" w:hAnsi="Arial" w:cs="Arial"/>
                <w:sz w:val="20"/>
                <w:szCs w:val="20"/>
              </w:rPr>
            </w:pPr>
            <w:r w:rsidRPr="00A94ACD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8454" w:type="dxa"/>
            <w:shd w:val="clear" w:color="auto" w:fill="auto"/>
          </w:tcPr>
          <w:p w14:paraId="34F0C927" w14:textId="77777777" w:rsidR="008D112B" w:rsidRDefault="008D112B" w:rsidP="008D11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approval process is necessary as it</w:t>
            </w:r>
            <w:r w:rsidRPr="004A300D">
              <w:rPr>
                <w:rFonts w:ascii="Arial" w:hAnsi="Arial" w:cs="Arial"/>
                <w:sz w:val="24"/>
                <w:szCs w:val="24"/>
              </w:rPr>
              <w:t xml:space="preserve"> is envisaged that some pro</w:t>
            </w:r>
            <w:r>
              <w:rPr>
                <w:rFonts w:ascii="Arial" w:hAnsi="Arial" w:cs="Arial"/>
                <w:sz w:val="24"/>
                <w:szCs w:val="24"/>
              </w:rPr>
              <w:t>posed pro</w:t>
            </w:r>
            <w:r w:rsidRPr="004A300D">
              <w:rPr>
                <w:rFonts w:ascii="Arial" w:hAnsi="Arial" w:cs="Arial"/>
                <w:sz w:val="24"/>
                <w:szCs w:val="24"/>
              </w:rPr>
              <w:t xml:space="preserve">jects will </w:t>
            </w:r>
          </w:p>
          <w:p w14:paraId="1461A5DA" w14:textId="77777777" w:rsidR="008D112B" w:rsidRDefault="008D112B" w:rsidP="008D11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E7DAE">
              <w:rPr>
                <w:rFonts w:ascii="Arial" w:hAnsi="Arial" w:cs="Arial"/>
                <w:sz w:val="24"/>
                <w:szCs w:val="24"/>
              </w:rPr>
              <w:t>cut across the remits of more than one group</w:t>
            </w:r>
          </w:p>
          <w:p w14:paraId="01245705" w14:textId="77777777" w:rsidR="008D112B" w:rsidRPr="007E7DAE" w:rsidRDefault="008D112B" w:rsidP="008D11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scope </w:t>
            </w:r>
            <w:r w:rsidRPr="007E7DAE">
              <w:rPr>
                <w:rFonts w:ascii="Arial" w:hAnsi="Arial" w:cs="Arial"/>
                <w:sz w:val="24"/>
                <w:szCs w:val="24"/>
              </w:rPr>
              <w:t xml:space="preserve">is fit for purpose </w:t>
            </w:r>
          </w:p>
          <w:p w14:paraId="6A2AFE7B" w14:textId="77777777" w:rsidR="008D112B" w:rsidRPr="007E7DAE" w:rsidRDefault="008D112B" w:rsidP="008D11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augments </w:t>
            </w:r>
            <w:r w:rsidRPr="007E7DAE">
              <w:rPr>
                <w:rFonts w:ascii="Arial" w:hAnsi="Arial" w:cs="Arial"/>
                <w:sz w:val="24"/>
                <w:szCs w:val="24"/>
              </w:rPr>
              <w:t>(does not repeat) previous project work that has reached a natural end point</w:t>
            </w:r>
          </w:p>
          <w:p w14:paraId="0E71A036" w14:textId="3AA1B470" w:rsidR="008D112B" w:rsidRDefault="008D112B" w:rsidP="008D11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E7DAE">
              <w:rPr>
                <w:rFonts w:ascii="Arial" w:hAnsi="Arial" w:cs="Arial"/>
                <w:sz w:val="24"/>
                <w:szCs w:val="24"/>
              </w:rPr>
              <w:t>reduces duplication</w:t>
            </w:r>
          </w:p>
          <w:p w14:paraId="6893F477" w14:textId="52203322" w:rsidR="008D112B" w:rsidRPr="007E7DAE" w:rsidRDefault="008D112B" w:rsidP="008D11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time limited </w:t>
            </w:r>
          </w:p>
          <w:p w14:paraId="454F9115" w14:textId="381BE94C" w:rsidR="008D112B" w:rsidRPr="008D112B" w:rsidRDefault="008D112B" w:rsidP="008D11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112B">
              <w:rPr>
                <w:rFonts w:ascii="Arial" w:hAnsi="Arial" w:cs="Arial"/>
                <w:sz w:val="24"/>
                <w:szCs w:val="24"/>
              </w:rPr>
              <w:t>be value for money</w:t>
            </w:r>
          </w:p>
        </w:tc>
      </w:tr>
      <w:tr w:rsidR="008D112B" w:rsidRPr="008D112B" w14:paraId="1CD23F5B" w14:textId="77777777" w:rsidTr="008D6F15">
        <w:tc>
          <w:tcPr>
            <w:tcW w:w="562" w:type="dxa"/>
            <w:shd w:val="clear" w:color="auto" w:fill="auto"/>
          </w:tcPr>
          <w:p w14:paraId="1DAA6BAB" w14:textId="77777777" w:rsidR="008D112B" w:rsidRPr="00A94ACD" w:rsidRDefault="008D112B" w:rsidP="00C470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4" w:type="dxa"/>
            <w:shd w:val="clear" w:color="auto" w:fill="auto"/>
          </w:tcPr>
          <w:p w14:paraId="2DF14AE0" w14:textId="77777777" w:rsidR="008D112B" w:rsidRPr="008D112B" w:rsidRDefault="008D112B" w:rsidP="00C470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300D" w14:paraId="08CAC02B" w14:textId="77777777" w:rsidTr="008D6F15">
        <w:tc>
          <w:tcPr>
            <w:tcW w:w="562" w:type="dxa"/>
            <w:shd w:val="clear" w:color="auto" w:fill="auto"/>
          </w:tcPr>
          <w:p w14:paraId="48D54094" w14:textId="77777777" w:rsidR="004A300D" w:rsidRPr="00A94ACD" w:rsidRDefault="008D112B" w:rsidP="00C470F8">
            <w:pPr>
              <w:rPr>
                <w:rFonts w:ascii="Arial" w:hAnsi="Arial" w:cs="Arial"/>
                <w:sz w:val="20"/>
                <w:szCs w:val="20"/>
              </w:rPr>
            </w:pPr>
            <w:r w:rsidRPr="00A94AC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54" w:type="dxa"/>
            <w:shd w:val="clear" w:color="auto" w:fill="auto"/>
          </w:tcPr>
          <w:p w14:paraId="381B4249" w14:textId="77777777" w:rsidR="004A300D" w:rsidRDefault="008D112B" w:rsidP="00C47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Background</w:t>
            </w:r>
          </w:p>
        </w:tc>
      </w:tr>
      <w:tr w:rsidR="008D6F15" w14:paraId="2E6CEC95" w14:textId="77777777" w:rsidTr="008D6F15">
        <w:tc>
          <w:tcPr>
            <w:tcW w:w="562" w:type="dxa"/>
            <w:shd w:val="clear" w:color="auto" w:fill="auto"/>
          </w:tcPr>
          <w:p w14:paraId="49308525" w14:textId="77777777" w:rsidR="008D6F15" w:rsidRPr="00A94ACD" w:rsidRDefault="008D112B" w:rsidP="00C470F8">
            <w:pPr>
              <w:rPr>
                <w:rFonts w:ascii="Arial" w:hAnsi="Arial" w:cs="Arial"/>
                <w:sz w:val="20"/>
                <w:szCs w:val="20"/>
              </w:rPr>
            </w:pPr>
            <w:r w:rsidRPr="00A94ACD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8454" w:type="dxa"/>
            <w:shd w:val="clear" w:color="auto" w:fill="auto"/>
          </w:tcPr>
          <w:p w14:paraId="6570AB6A" w14:textId="19AF0358" w:rsidR="008D6F15" w:rsidRPr="008D6F15" w:rsidRDefault="00112670" w:rsidP="00C47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Previously, MSIG task and finish projects were required to submit documentation that identified the scope of the proposed project, timescale and required funding.</w:t>
            </w:r>
            <w:r w:rsidR="004A30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DAE">
              <w:rPr>
                <w:rFonts w:ascii="Arial" w:hAnsi="Arial" w:cs="Arial"/>
                <w:sz w:val="24"/>
                <w:szCs w:val="24"/>
              </w:rPr>
              <w:t>MHA</w:t>
            </w:r>
            <w:r w:rsidR="004A300D">
              <w:rPr>
                <w:rFonts w:ascii="Arial" w:hAnsi="Arial" w:cs="Arial"/>
                <w:sz w:val="24"/>
                <w:szCs w:val="24"/>
              </w:rPr>
              <w:t xml:space="preserve"> commissioned external consultants</w:t>
            </w:r>
            <w:r w:rsidR="007E7DAE">
              <w:rPr>
                <w:rFonts w:ascii="Arial" w:hAnsi="Arial" w:cs="Arial"/>
                <w:sz w:val="24"/>
                <w:szCs w:val="24"/>
              </w:rPr>
              <w:t>,</w:t>
            </w:r>
            <w:r w:rsidR="004A300D">
              <w:rPr>
                <w:rFonts w:ascii="Arial" w:hAnsi="Arial" w:cs="Arial"/>
                <w:sz w:val="24"/>
                <w:szCs w:val="24"/>
              </w:rPr>
              <w:t xml:space="preserve"> using the</w:t>
            </w:r>
            <w:r w:rsidR="008D112B">
              <w:rPr>
                <w:rFonts w:ascii="Arial" w:hAnsi="Arial" w:cs="Arial"/>
                <w:sz w:val="24"/>
                <w:szCs w:val="24"/>
              </w:rPr>
              <w:t>ir</w:t>
            </w:r>
            <w:r w:rsidR="004A300D">
              <w:rPr>
                <w:rFonts w:ascii="Arial" w:hAnsi="Arial" w:cs="Arial"/>
                <w:sz w:val="24"/>
                <w:szCs w:val="24"/>
              </w:rPr>
              <w:t xml:space="preserve"> professional services framework</w:t>
            </w:r>
            <w:r w:rsidR="007E7D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D112B" w:rsidRPr="007E7DAE" w14:paraId="64BB2142" w14:textId="77777777" w:rsidTr="008D6F15">
        <w:tc>
          <w:tcPr>
            <w:tcW w:w="562" w:type="dxa"/>
            <w:shd w:val="clear" w:color="auto" w:fill="auto"/>
          </w:tcPr>
          <w:p w14:paraId="738EFC79" w14:textId="77777777" w:rsidR="008D112B" w:rsidRPr="00A94ACD" w:rsidRDefault="008D112B" w:rsidP="00C470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4" w:type="dxa"/>
            <w:shd w:val="clear" w:color="auto" w:fill="auto"/>
          </w:tcPr>
          <w:p w14:paraId="4F78B4C1" w14:textId="77777777" w:rsidR="008D112B" w:rsidRPr="00A94ACD" w:rsidRDefault="008D112B" w:rsidP="00C470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AE" w:rsidRPr="007E7DAE" w14:paraId="0C2355EC" w14:textId="77777777" w:rsidTr="008D6F15">
        <w:tc>
          <w:tcPr>
            <w:tcW w:w="562" w:type="dxa"/>
            <w:shd w:val="clear" w:color="auto" w:fill="auto"/>
          </w:tcPr>
          <w:p w14:paraId="79F7D650" w14:textId="77777777" w:rsidR="007E7DAE" w:rsidRPr="00A94ACD" w:rsidRDefault="008D112B" w:rsidP="00C470F8">
            <w:pPr>
              <w:rPr>
                <w:rFonts w:ascii="Arial" w:hAnsi="Arial" w:cs="Arial"/>
                <w:sz w:val="20"/>
                <w:szCs w:val="20"/>
              </w:rPr>
            </w:pPr>
            <w:r w:rsidRPr="00A94A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54" w:type="dxa"/>
            <w:shd w:val="clear" w:color="auto" w:fill="auto"/>
          </w:tcPr>
          <w:p w14:paraId="33E5A623" w14:textId="77777777" w:rsidR="007E7DAE" w:rsidRPr="008D112B" w:rsidRDefault="008D112B" w:rsidP="00C470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12B">
              <w:rPr>
                <w:rFonts w:ascii="Arial" w:hAnsi="Arial" w:cs="Arial"/>
                <w:b/>
                <w:bCs/>
                <w:sz w:val="24"/>
                <w:szCs w:val="24"/>
              </w:rPr>
              <w:t>Next steps</w:t>
            </w:r>
          </w:p>
        </w:tc>
      </w:tr>
      <w:tr w:rsidR="007E7DAE" w14:paraId="5262C9D3" w14:textId="77777777" w:rsidTr="008D6F15">
        <w:tc>
          <w:tcPr>
            <w:tcW w:w="562" w:type="dxa"/>
            <w:shd w:val="clear" w:color="auto" w:fill="auto"/>
          </w:tcPr>
          <w:p w14:paraId="70C366B5" w14:textId="77777777" w:rsidR="007E7DAE" w:rsidRPr="00A94ACD" w:rsidRDefault="008D112B" w:rsidP="00C470F8">
            <w:pPr>
              <w:rPr>
                <w:rFonts w:ascii="Arial" w:hAnsi="Arial" w:cs="Arial"/>
                <w:sz w:val="20"/>
                <w:szCs w:val="20"/>
              </w:rPr>
            </w:pPr>
            <w:r w:rsidRPr="00A94ACD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8454" w:type="dxa"/>
            <w:shd w:val="clear" w:color="auto" w:fill="auto"/>
          </w:tcPr>
          <w:p w14:paraId="1348293D" w14:textId="77777777" w:rsidR="007E7DAE" w:rsidRDefault="007E7DAE" w:rsidP="00C470F8">
            <w:pPr>
              <w:rPr>
                <w:rFonts w:ascii="Arial" w:hAnsi="Arial" w:cs="Arial"/>
                <w:sz w:val="24"/>
                <w:szCs w:val="24"/>
              </w:rPr>
            </w:pPr>
            <w:r w:rsidRPr="004A300D">
              <w:rPr>
                <w:rFonts w:ascii="Arial" w:hAnsi="Arial" w:cs="Arial"/>
                <w:sz w:val="24"/>
                <w:szCs w:val="24"/>
              </w:rPr>
              <w:t>The commissioning process (developed by MSIG</w:t>
            </w:r>
            <w:r>
              <w:rPr>
                <w:rFonts w:ascii="Arial" w:hAnsi="Arial" w:cs="Arial"/>
                <w:sz w:val="24"/>
                <w:szCs w:val="24"/>
              </w:rPr>
              <w:t>) has been</w:t>
            </w:r>
            <w:r w:rsidRPr="004A300D">
              <w:rPr>
                <w:rFonts w:ascii="Arial" w:hAnsi="Arial" w:cs="Arial"/>
                <w:sz w:val="24"/>
                <w:szCs w:val="24"/>
              </w:rPr>
              <w:t xml:space="preserve"> adapted. The modifications will ensure contextual information is considered as well as identification of budget, </w:t>
            </w:r>
            <w:proofErr w:type="gramStart"/>
            <w:r w:rsidRPr="004A300D">
              <w:rPr>
                <w:rFonts w:ascii="Arial" w:hAnsi="Arial" w:cs="Arial"/>
                <w:sz w:val="24"/>
                <w:szCs w:val="24"/>
              </w:rPr>
              <w:t>output</w:t>
            </w:r>
            <w:proofErr w:type="gramEnd"/>
            <w:r w:rsidRPr="004A300D">
              <w:rPr>
                <w:rFonts w:ascii="Arial" w:hAnsi="Arial" w:cs="Arial"/>
                <w:sz w:val="24"/>
                <w:szCs w:val="24"/>
              </w:rPr>
              <w:t xml:space="preserve"> and timescales</w:t>
            </w:r>
          </w:p>
        </w:tc>
      </w:tr>
      <w:tr w:rsidR="004A300D" w14:paraId="784A6678" w14:textId="77777777" w:rsidTr="008D6F15">
        <w:tc>
          <w:tcPr>
            <w:tcW w:w="562" w:type="dxa"/>
            <w:shd w:val="clear" w:color="auto" w:fill="auto"/>
          </w:tcPr>
          <w:p w14:paraId="32E57420" w14:textId="77777777" w:rsidR="004A300D" w:rsidRPr="00A94ACD" w:rsidRDefault="004A300D" w:rsidP="00C470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4" w:type="dxa"/>
            <w:shd w:val="clear" w:color="auto" w:fill="auto"/>
          </w:tcPr>
          <w:p w14:paraId="27A4CC9D" w14:textId="77777777" w:rsidR="004A300D" w:rsidRDefault="004A300D" w:rsidP="00C47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process now includes stages to include additional analysis of the bid, and improved performance management.</w:t>
            </w:r>
          </w:p>
        </w:tc>
      </w:tr>
      <w:tr w:rsidR="007E7DAE" w:rsidRPr="007E7DAE" w14:paraId="73B1DF37" w14:textId="77777777" w:rsidTr="008D6F15">
        <w:tc>
          <w:tcPr>
            <w:tcW w:w="562" w:type="dxa"/>
            <w:shd w:val="clear" w:color="auto" w:fill="auto"/>
          </w:tcPr>
          <w:p w14:paraId="5949F5B7" w14:textId="77777777" w:rsidR="007E7DAE" w:rsidRPr="00A94ACD" w:rsidRDefault="007E7DAE" w:rsidP="00C470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4" w:type="dxa"/>
            <w:shd w:val="clear" w:color="auto" w:fill="auto"/>
          </w:tcPr>
          <w:p w14:paraId="05644B85" w14:textId="77777777" w:rsidR="007E7DAE" w:rsidRPr="007E7DAE" w:rsidRDefault="007E7DAE" w:rsidP="00C470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AE" w14:paraId="1656832E" w14:textId="77777777" w:rsidTr="008D6F15">
        <w:tc>
          <w:tcPr>
            <w:tcW w:w="562" w:type="dxa"/>
            <w:shd w:val="clear" w:color="auto" w:fill="auto"/>
          </w:tcPr>
          <w:p w14:paraId="09CD4023" w14:textId="77777777" w:rsidR="007E7DAE" w:rsidRPr="00A94ACD" w:rsidRDefault="008D112B" w:rsidP="00C470F8">
            <w:pPr>
              <w:rPr>
                <w:rFonts w:ascii="Arial" w:hAnsi="Arial" w:cs="Arial"/>
                <w:sz w:val="20"/>
                <w:szCs w:val="20"/>
              </w:rPr>
            </w:pPr>
            <w:r w:rsidRPr="00A94ACD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8454" w:type="dxa"/>
            <w:shd w:val="clear" w:color="auto" w:fill="auto"/>
          </w:tcPr>
          <w:p w14:paraId="22223BA2" w14:textId="77777777" w:rsidR="007E7DAE" w:rsidRDefault="007E7DAE" w:rsidP="00C47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MHA+ Programme Board will agree projects. Bid preparation and monitoring and the annual business plan </w:t>
            </w:r>
          </w:p>
        </w:tc>
      </w:tr>
    </w:tbl>
    <w:p w14:paraId="0FF34093" w14:textId="77777777" w:rsidR="008D6F15" w:rsidRDefault="008D6F15" w:rsidP="00C4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00F81C" w14:textId="4F5B1766" w:rsidR="00C470F8" w:rsidRPr="008D112B" w:rsidRDefault="008D112B" w:rsidP="00C470F8">
      <w:pPr>
        <w:spacing w:after="0" w:line="240" w:lineRule="auto"/>
        <w:rPr>
          <w:rFonts w:ascii="Arial" w:hAnsi="Arial" w:cs="Arial"/>
          <w:color w:val="D9D9D9" w:themeColor="background1" w:themeShade="D9"/>
          <w:sz w:val="18"/>
          <w:szCs w:val="18"/>
        </w:rPr>
      </w:pPr>
      <w:r w:rsidRPr="008D112B">
        <w:rPr>
          <w:rFonts w:ascii="Arial" w:hAnsi="Arial" w:cs="Arial"/>
          <w:color w:val="D9D9D9" w:themeColor="background1" w:themeShade="D9"/>
          <w:sz w:val="18"/>
          <w:szCs w:val="18"/>
        </w:rPr>
        <w:fldChar w:fldCharType="begin"/>
      </w:r>
      <w:r w:rsidRPr="008D112B">
        <w:rPr>
          <w:rFonts w:ascii="Arial" w:hAnsi="Arial" w:cs="Arial"/>
          <w:color w:val="D9D9D9" w:themeColor="background1" w:themeShade="D9"/>
          <w:sz w:val="18"/>
          <w:szCs w:val="18"/>
        </w:rPr>
        <w:instrText xml:space="preserve"> FILENAME  \p  \* MERGEFORMAT </w:instrText>
      </w:r>
      <w:r w:rsidRPr="008D112B">
        <w:rPr>
          <w:rFonts w:ascii="Arial" w:hAnsi="Arial" w:cs="Arial"/>
          <w:color w:val="D9D9D9" w:themeColor="background1" w:themeShade="D9"/>
          <w:sz w:val="18"/>
          <w:szCs w:val="18"/>
        </w:rPr>
        <w:fldChar w:fldCharType="separate"/>
      </w:r>
      <w:r w:rsidRPr="008D112B">
        <w:rPr>
          <w:rFonts w:ascii="Arial" w:hAnsi="Arial" w:cs="Arial"/>
          <w:noProof/>
          <w:color w:val="D9D9D9" w:themeColor="background1" w:themeShade="D9"/>
          <w:sz w:val="18"/>
          <w:szCs w:val="18"/>
        </w:rPr>
        <w:t>H:\JMWORK\preamble for SP funding.docx</w:t>
      </w:r>
      <w:r w:rsidRPr="008D112B">
        <w:rPr>
          <w:rFonts w:ascii="Arial" w:hAnsi="Arial" w:cs="Arial"/>
          <w:color w:val="D9D9D9" w:themeColor="background1" w:themeShade="D9"/>
          <w:sz w:val="18"/>
          <w:szCs w:val="18"/>
        </w:rPr>
        <w:fldChar w:fldCharType="end"/>
      </w:r>
    </w:p>
    <w:p w14:paraId="7A3B0031" w14:textId="77777777" w:rsidR="008D6F15" w:rsidRDefault="008D6F15" w:rsidP="00C4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835695" w14:textId="77777777" w:rsidR="008D6F15" w:rsidRPr="00C470F8" w:rsidRDefault="008D6F15" w:rsidP="00C4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8D6F15" w:rsidRPr="00C470F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56F1C" w14:textId="77777777" w:rsidR="00C470F8" w:rsidRDefault="00C470F8" w:rsidP="00C470F8">
      <w:pPr>
        <w:spacing w:after="0" w:line="240" w:lineRule="auto"/>
      </w:pPr>
      <w:r>
        <w:separator/>
      </w:r>
    </w:p>
  </w:endnote>
  <w:endnote w:type="continuationSeparator" w:id="0">
    <w:p w14:paraId="0C9CBA34" w14:textId="77777777" w:rsidR="00C470F8" w:rsidRDefault="00C470F8" w:rsidP="00C4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488A6" w14:textId="77777777" w:rsidR="00C470F8" w:rsidRDefault="00C470F8" w:rsidP="00C470F8">
      <w:pPr>
        <w:spacing w:after="0" w:line="240" w:lineRule="auto"/>
      </w:pPr>
      <w:r>
        <w:separator/>
      </w:r>
    </w:p>
  </w:footnote>
  <w:footnote w:type="continuationSeparator" w:id="0">
    <w:p w14:paraId="4F8A6A5B" w14:textId="77777777" w:rsidR="00C470F8" w:rsidRDefault="00C470F8" w:rsidP="00C470F8">
      <w:pPr>
        <w:spacing w:after="0" w:line="240" w:lineRule="auto"/>
      </w:pPr>
      <w:r>
        <w:continuationSeparator/>
      </w:r>
    </w:p>
  </w:footnote>
  <w:footnote w:id="1">
    <w:p w14:paraId="7D887AAC" w14:textId="1DD9C332" w:rsidR="008D112B" w:rsidRDefault="008D112B" w:rsidP="008D11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300D">
        <w:t xml:space="preserve"> Projects can range from a half day workshop on highway inspection </w:t>
      </w:r>
      <w:proofErr w:type="gramStart"/>
      <w:r w:rsidRPr="004A300D">
        <w:t>criteria;</w:t>
      </w:r>
      <w:proofErr w:type="gramEnd"/>
      <w:r w:rsidRPr="004A300D">
        <w:t xml:space="preserve"> a major study into Climate Change Adaptation</w:t>
      </w:r>
      <w:r w:rsidR="005B777F">
        <w:t xml:space="preserve"> to provision on learning training and development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43F94" w14:textId="77777777" w:rsidR="00C470F8" w:rsidRDefault="00C470F8" w:rsidP="00C470F8">
    <w:pPr>
      <w:pStyle w:val="Header"/>
      <w:ind w:left="6480"/>
    </w:pPr>
    <w:r>
      <w:rPr>
        <w:noProof/>
      </w:rPr>
      <w:drawing>
        <wp:inline distT="0" distB="0" distL="0" distR="0" wp14:anchorId="4631D73B" wp14:editId="011AD5CB">
          <wp:extent cx="1657985" cy="7562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F0217"/>
    <w:multiLevelType w:val="hybridMultilevel"/>
    <w:tmpl w:val="70ACD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C21F41"/>
    <w:multiLevelType w:val="hybridMultilevel"/>
    <w:tmpl w:val="5678D2A6"/>
    <w:lvl w:ilvl="0" w:tplc="B2E23B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F8"/>
    <w:rsid w:val="00112670"/>
    <w:rsid w:val="00455012"/>
    <w:rsid w:val="004A300D"/>
    <w:rsid w:val="005B777F"/>
    <w:rsid w:val="007E7DAE"/>
    <w:rsid w:val="008D112B"/>
    <w:rsid w:val="008D6F15"/>
    <w:rsid w:val="009A7CBC"/>
    <w:rsid w:val="00A94ACD"/>
    <w:rsid w:val="00C470F8"/>
    <w:rsid w:val="00EB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00A171"/>
  <w15:chartTrackingRefBased/>
  <w15:docId w15:val="{F0162D79-53FE-46BB-98FB-9B84A402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0F8"/>
  </w:style>
  <w:style w:type="paragraph" w:styleId="Footer">
    <w:name w:val="footer"/>
    <w:basedOn w:val="Normal"/>
    <w:link w:val="FooterChar"/>
    <w:uiPriority w:val="99"/>
    <w:unhideWhenUsed/>
    <w:rsid w:val="00C47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0F8"/>
  </w:style>
  <w:style w:type="table" w:styleId="TableGrid">
    <w:name w:val="Table Grid"/>
    <w:basedOn w:val="TableNormal"/>
    <w:uiPriority w:val="39"/>
    <w:rsid w:val="008D6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A30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0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300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E7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C40E3-529D-4593-BB29-46B77768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May</dc:creator>
  <cp:keywords/>
  <dc:description/>
  <cp:lastModifiedBy>Julia May</cp:lastModifiedBy>
  <cp:revision>2</cp:revision>
  <dcterms:created xsi:type="dcterms:W3CDTF">2021-06-17T08:54:00Z</dcterms:created>
  <dcterms:modified xsi:type="dcterms:W3CDTF">2021-06-17T08:54:00Z</dcterms:modified>
</cp:coreProperties>
</file>